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15735" w14:textId="77777777" w:rsidR="000B60FC" w:rsidRPr="00925CB8" w:rsidRDefault="000B60FC" w:rsidP="00B4130A">
      <w:pPr>
        <w:spacing w:after="0" w:line="240" w:lineRule="auto"/>
        <w:jc w:val="center"/>
        <w:rPr>
          <w:rFonts w:ascii="Arial" w:hAnsi="Arial" w:cs="Arial"/>
          <w:b/>
        </w:rPr>
      </w:pPr>
      <w:bookmarkStart w:id="0" w:name="_GoBack"/>
      <w:bookmarkEnd w:id="0"/>
    </w:p>
    <w:p w14:paraId="6C4B3FF4" w14:textId="77777777" w:rsidR="00B4130A" w:rsidRPr="00925CB8" w:rsidRDefault="00B4130A" w:rsidP="00B4130A">
      <w:pPr>
        <w:spacing w:after="0" w:line="240" w:lineRule="auto"/>
        <w:jc w:val="center"/>
        <w:rPr>
          <w:rFonts w:ascii="Arial" w:hAnsi="Arial" w:cs="Arial"/>
          <w:b/>
        </w:rPr>
      </w:pPr>
      <w:r w:rsidRPr="00925CB8">
        <w:rPr>
          <w:rFonts w:ascii="Arial" w:hAnsi="Arial" w:cs="Arial"/>
          <w:b/>
        </w:rPr>
        <w:t>EXECUTIVE SUMMARY</w:t>
      </w:r>
    </w:p>
    <w:p w14:paraId="1DE15A38" w14:textId="77777777" w:rsidR="00B4130A" w:rsidRPr="00925CB8" w:rsidRDefault="00B4130A" w:rsidP="00B4130A">
      <w:pPr>
        <w:spacing w:after="0" w:line="240" w:lineRule="auto"/>
        <w:rPr>
          <w:rFonts w:ascii="Arial" w:hAnsi="Arial" w:cs="Arial"/>
          <w:b/>
          <w:sz w:val="20"/>
          <w:szCs w:val="20"/>
        </w:rPr>
      </w:pPr>
    </w:p>
    <w:p w14:paraId="694EE371" w14:textId="77777777" w:rsidR="00B4130A" w:rsidRPr="00925CB8" w:rsidRDefault="00B4130A" w:rsidP="00B4130A">
      <w:pPr>
        <w:spacing w:after="0" w:line="240" w:lineRule="auto"/>
        <w:rPr>
          <w:rFonts w:ascii="Arial" w:hAnsi="Arial" w:cs="Arial"/>
          <w:b/>
          <w:sz w:val="20"/>
          <w:szCs w:val="20"/>
        </w:rPr>
      </w:pPr>
    </w:p>
    <w:p w14:paraId="127862BC" w14:textId="77777777" w:rsidR="00B4130A" w:rsidRPr="00925CB8" w:rsidRDefault="00B4130A" w:rsidP="00B4130A">
      <w:pPr>
        <w:spacing w:after="0" w:line="240" w:lineRule="auto"/>
        <w:rPr>
          <w:rFonts w:ascii="Arial" w:hAnsi="Arial" w:cs="Arial"/>
          <w:b/>
        </w:rPr>
      </w:pPr>
      <w:r w:rsidRPr="00925CB8">
        <w:rPr>
          <w:rFonts w:ascii="Arial" w:hAnsi="Arial" w:cs="Arial"/>
          <w:b/>
        </w:rPr>
        <w:t>INTRODUCTION</w:t>
      </w:r>
    </w:p>
    <w:p w14:paraId="2F70835D" w14:textId="77777777" w:rsidR="00B4130A" w:rsidRPr="00925CB8" w:rsidRDefault="00B4130A" w:rsidP="00B4130A">
      <w:pPr>
        <w:pStyle w:val="ListParagraph"/>
        <w:ind w:left="0" w:firstLine="720"/>
        <w:jc w:val="both"/>
        <w:rPr>
          <w:rFonts w:ascii="Arial" w:eastAsia="Calibri" w:hAnsi="Arial" w:cs="Arial"/>
          <w:sz w:val="20"/>
          <w:szCs w:val="20"/>
        </w:rPr>
      </w:pPr>
    </w:p>
    <w:p w14:paraId="0A6C620D" w14:textId="77777777" w:rsidR="00B4130A" w:rsidRPr="00925CB8" w:rsidRDefault="00B4130A" w:rsidP="005C25FF">
      <w:pPr>
        <w:spacing w:after="0" w:line="240" w:lineRule="auto"/>
        <w:jc w:val="both"/>
        <w:rPr>
          <w:rFonts w:ascii="Arial" w:hAnsi="Arial" w:cs="Arial"/>
        </w:rPr>
      </w:pPr>
      <w:r w:rsidRPr="00925CB8">
        <w:rPr>
          <w:rFonts w:ascii="Arial" w:hAnsi="Arial" w:cs="Arial"/>
        </w:rPr>
        <w:t>The Philippine Charity Sweepstakes Office (PCSO) is the principal government agency for raising and providing funds for health programs, medical assistance and services, and charities of national character.  It was created under Philippine Legislature Act No. 4130 on October 30, 1934 and lat</w:t>
      </w:r>
      <w:r w:rsidR="009113C0" w:rsidRPr="00925CB8">
        <w:rPr>
          <w:rFonts w:ascii="Arial" w:hAnsi="Arial" w:cs="Arial"/>
        </w:rPr>
        <w:t>er amended by Republic Act</w:t>
      </w:r>
      <w:r w:rsidR="00AC0417">
        <w:rPr>
          <w:rFonts w:ascii="Arial" w:hAnsi="Arial" w:cs="Arial"/>
        </w:rPr>
        <w:t xml:space="preserve"> (RA)</w:t>
      </w:r>
      <w:r w:rsidR="009113C0" w:rsidRPr="00925CB8">
        <w:rPr>
          <w:rFonts w:ascii="Arial" w:hAnsi="Arial" w:cs="Arial"/>
        </w:rPr>
        <w:t xml:space="preserve"> </w:t>
      </w:r>
      <w:r w:rsidRPr="00925CB8">
        <w:rPr>
          <w:rFonts w:ascii="Arial" w:hAnsi="Arial" w:cs="Arial"/>
        </w:rPr>
        <w:t xml:space="preserve">No. 1169 in 1954 and Batas Pambansa Blg. 42 on September 24, 1979.  </w:t>
      </w:r>
    </w:p>
    <w:p w14:paraId="7AFA4956" w14:textId="77777777" w:rsidR="00B4130A" w:rsidRPr="00925CB8" w:rsidRDefault="00B4130A" w:rsidP="005C25FF">
      <w:pPr>
        <w:spacing w:after="0" w:line="240" w:lineRule="auto"/>
        <w:rPr>
          <w:rFonts w:ascii="Arial" w:hAnsi="Arial" w:cs="Arial"/>
        </w:rPr>
      </w:pPr>
    </w:p>
    <w:p w14:paraId="6EDC666B" w14:textId="77777777" w:rsidR="00B4130A" w:rsidRPr="00925CB8" w:rsidRDefault="00B4130A" w:rsidP="005C25FF">
      <w:pPr>
        <w:spacing w:after="0" w:line="240" w:lineRule="auto"/>
        <w:jc w:val="both"/>
        <w:rPr>
          <w:rFonts w:ascii="Arial" w:hAnsi="Arial" w:cs="Arial"/>
        </w:rPr>
      </w:pPr>
      <w:r w:rsidRPr="00925CB8">
        <w:rPr>
          <w:rFonts w:ascii="Arial" w:hAnsi="Arial" w:cs="Arial"/>
        </w:rPr>
        <w:t xml:space="preserve">The main programs of the PCSO consist of endowment fund/quality health care, individual medical assistance, community outreach, ambulance donation, national calamity and disaster program, and hospital renovation and improvement of health care facilities. It also gives mandatory contributions to various agencies and institutions and extends regular contributions to charitable institutions engaged in giving welfare services to the children and youth who are either abandoned or exploited, the elderly, and the physically and mentally handicapped, among others. </w:t>
      </w:r>
    </w:p>
    <w:p w14:paraId="18521295" w14:textId="77777777" w:rsidR="00B4130A" w:rsidRPr="00925CB8" w:rsidRDefault="00B4130A" w:rsidP="005C25FF">
      <w:pPr>
        <w:spacing w:after="0" w:line="240" w:lineRule="auto"/>
        <w:jc w:val="both"/>
        <w:rPr>
          <w:rFonts w:ascii="Arial" w:hAnsi="Arial" w:cs="Arial"/>
        </w:rPr>
      </w:pPr>
    </w:p>
    <w:p w14:paraId="1F9F8D69" w14:textId="77777777" w:rsidR="00B4130A" w:rsidRPr="00925CB8" w:rsidRDefault="00B4130A" w:rsidP="005C25FF">
      <w:pPr>
        <w:spacing w:after="0" w:line="240" w:lineRule="auto"/>
        <w:jc w:val="both"/>
        <w:rPr>
          <w:rFonts w:ascii="Arial" w:hAnsi="Arial" w:cs="Arial"/>
        </w:rPr>
      </w:pPr>
      <w:r w:rsidRPr="00925CB8">
        <w:rPr>
          <w:rFonts w:ascii="Arial" w:hAnsi="Arial" w:cs="Arial"/>
        </w:rPr>
        <w:t>The PCSO holds and conducts charity sweepstakes, races and lotteries and engages in health and welfare-related investments, projects, and activities to provide for permanent and continuing sources of funds for its programs. Other activities to enhance and expand such fund-generating operations as well as strengthen its fund-management capabilities are also being undertaken by the Agency.</w:t>
      </w:r>
    </w:p>
    <w:p w14:paraId="4700C039" w14:textId="77777777" w:rsidR="00B4130A" w:rsidRPr="00925CB8" w:rsidRDefault="00B4130A" w:rsidP="005C25FF">
      <w:pPr>
        <w:spacing w:after="0" w:line="240" w:lineRule="auto"/>
        <w:rPr>
          <w:rFonts w:ascii="Arial" w:hAnsi="Arial" w:cs="Arial"/>
        </w:rPr>
      </w:pPr>
    </w:p>
    <w:p w14:paraId="02DB24B3" w14:textId="77777777" w:rsidR="00B4130A" w:rsidRPr="00925CB8" w:rsidRDefault="00E51909" w:rsidP="005C25FF">
      <w:pPr>
        <w:spacing w:after="0" w:line="240" w:lineRule="auto"/>
        <w:jc w:val="both"/>
        <w:rPr>
          <w:rFonts w:ascii="Arial" w:hAnsi="Arial" w:cs="Arial"/>
        </w:rPr>
      </w:pPr>
      <w:r w:rsidRPr="00925CB8">
        <w:rPr>
          <w:rFonts w:ascii="Arial" w:hAnsi="Arial" w:cs="Arial"/>
        </w:rPr>
        <w:t>As of December 31, 2023</w:t>
      </w:r>
      <w:r w:rsidR="009113C0" w:rsidRPr="00925CB8">
        <w:rPr>
          <w:rFonts w:ascii="Arial" w:hAnsi="Arial" w:cs="Arial"/>
        </w:rPr>
        <w:t>, the Board of Directors</w:t>
      </w:r>
      <w:r w:rsidR="00B4130A" w:rsidRPr="00925CB8">
        <w:rPr>
          <w:rFonts w:ascii="Arial" w:hAnsi="Arial" w:cs="Arial"/>
        </w:rPr>
        <w:t xml:space="preserve"> of the PCSO is composed of the following: </w:t>
      </w:r>
    </w:p>
    <w:p w14:paraId="2C1BA046" w14:textId="77777777" w:rsidR="003D767B" w:rsidRPr="00925CB8" w:rsidRDefault="003D767B" w:rsidP="005C25FF">
      <w:pPr>
        <w:spacing w:after="0" w:line="240" w:lineRule="auto"/>
        <w:ind w:right="2340" w:firstLine="720"/>
        <w:jc w:val="both"/>
        <w:rPr>
          <w:rFonts w:ascii="Arial" w:hAnsi="Arial" w:cs="Arial"/>
        </w:rPr>
      </w:pPr>
    </w:p>
    <w:tbl>
      <w:tblPr>
        <w:tblStyle w:val="TableGrid"/>
        <w:tblW w:w="783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270"/>
        <w:gridCol w:w="4230"/>
      </w:tblGrid>
      <w:tr w:rsidR="00925CB8" w:rsidRPr="00925CB8" w14:paraId="23791CDD" w14:textId="77777777" w:rsidTr="001359C7">
        <w:tc>
          <w:tcPr>
            <w:tcW w:w="3330" w:type="dxa"/>
          </w:tcPr>
          <w:p w14:paraId="3AE06E94" w14:textId="77777777" w:rsidR="003D767B" w:rsidRPr="00925CB8" w:rsidRDefault="003D767B" w:rsidP="005C25FF">
            <w:pPr>
              <w:spacing w:after="0" w:line="240" w:lineRule="auto"/>
              <w:ind w:right="1062"/>
              <w:rPr>
                <w:rFonts w:ascii="Arial" w:hAnsi="Arial" w:cs="Arial"/>
                <w:sz w:val="22"/>
                <w:szCs w:val="22"/>
              </w:rPr>
            </w:pPr>
            <w:r w:rsidRPr="00925CB8">
              <w:rPr>
                <w:rFonts w:ascii="Arial" w:hAnsi="Arial" w:cs="Arial"/>
                <w:sz w:val="22"/>
                <w:szCs w:val="22"/>
              </w:rPr>
              <w:t>Junie E. Cua</w:t>
            </w:r>
          </w:p>
        </w:tc>
        <w:tc>
          <w:tcPr>
            <w:tcW w:w="270" w:type="dxa"/>
          </w:tcPr>
          <w:p w14:paraId="4EFF09BE" w14:textId="77777777" w:rsidR="003D767B" w:rsidRPr="00925CB8" w:rsidRDefault="003D767B" w:rsidP="005C25FF">
            <w:pPr>
              <w:spacing w:after="0" w:line="240" w:lineRule="auto"/>
              <w:ind w:right="2340"/>
              <w:jc w:val="both"/>
              <w:rPr>
                <w:rFonts w:ascii="Arial" w:hAnsi="Arial" w:cs="Arial"/>
                <w:sz w:val="22"/>
                <w:szCs w:val="22"/>
              </w:rPr>
            </w:pPr>
            <w:r w:rsidRPr="00925CB8">
              <w:rPr>
                <w:rFonts w:ascii="Arial" w:hAnsi="Arial" w:cs="Arial"/>
                <w:sz w:val="22"/>
                <w:szCs w:val="22"/>
              </w:rPr>
              <w:t>-</w:t>
            </w:r>
          </w:p>
        </w:tc>
        <w:tc>
          <w:tcPr>
            <w:tcW w:w="4230" w:type="dxa"/>
          </w:tcPr>
          <w:p w14:paraId="2925A008" w14:textId="77777777" w:rsidR="003D767B" w:rsidRPr="00925CB8" w:rsidRDefault="003D767B" w:rsidP="005C25FF">
            <w:pPr>
              <w:spacing w:after="0" w:line="240" w:lineRule="auto"/>
              <w:ind w:right="342"/>
              <w:jc w:val="both"/>
              <w:rPr>
                <w:rFonts w:ascii="Arial" w:hAnsi="Arial" w:cs="Arial"/>
                <w:sz w:val="22"/>
                <w:szCs w:val="22"/>
              </w:rPr>
            </w:pPr>
            <w:r w:rsidRPr="00925CB8">
              <w:rPr>
                <w:rFonts w:ascii="Arial" w:hAnsi="Arial" w:cs="Arial"/>
                <w:sz w:val="22"/>
                <w:szCs w:val="22"/>
              </w:rPr>
              <w:t>Chairman</w:t>
            </w:r>
          </w:p>
        </w:tc>
      </w:tr>
      <w:tr w:rsidR="00925CB8" w:rsidRPr="00925CB8" w14:paraId="3973355A" w14:textId="77777777" w:rsidTr="001359C7">
        <w:tc>
          <w:tcPr>
            <w:tcW w:w="3330" w:type="dxa"/>
          </w:tcPr>
          <w:p w14:paraId="78550879" w14:textId="77777777" w:rsidR="003D767B" w:rsidRPr="00925CB8" w:rsidRDefault="003D767B" w:rsidP="005C25FF">
            <w:pPr>
              <w:spacing w:after="0" w:line="240" w:lineRule="auto"/>
              <w:ind w:right="72"/>
              <w:jc w:val="both"/>
              <w:rPr>
                <w:rFonts w:ascii="Arial" w:hAnsi="Arial" w:cs="Arial"/>
                <w:sz w:val="22"/>
                <w:szCs w:val="22"/>
              </w:rPr>
            </w:pPr>
            <w:r w:rsidRPr="00925CB8">
              <w:rPr>
                <w:rFonts w:ascii="Arial" w:hAnsi="Arial" w:cs="Arial"/>
                <w:sz w:val="22"/>
                <w:szCs w:val="22"/>
              </w:rPr>
              <w:t>Melquiades A. Robles</w:t>
            </w:r>
          </w:p>
        </w:tc>
        <w:tc>
          <w:tcPr>
            <w:tcW w:w="270" w:type="dxa"/>
          </w:tcPr>
          <w:p w14:paraId="71330104" w14:textId="77777777" w:rsidR="003D767B" w:rsidRPr="00925CB8" w:rsidRDefault="003D767B" w:rsidP="005C25FF">
            <w:pPr>
              <w:spacing w:after="0" w:line="240" w:lineRule="auto"/>
              <w:ind w:right="2340"/>
              <w:jc w:val="both"/>
              <w:rPr>
                <w:rFonts w:ascii="Arial" w:hAnsi="Arial" w:cs="Arial"/>
                <w:sz w:val="22"/>
                <w:szCs w:val="22"/>
              </w:rPr>
            </w:pPr>
            <w:r w:rsidRPr="00925CB8">
              <w:rPr>
                <w:rFonts w:ascii="Arial" w:hAnsi="Arial" w:cs="Arial"/>
                <w:sz w:val="22"/>
                <w:szCs w:val="22"/>
              </w:rPr>
              <w:t>-</w:t>
            </w:r>
          </w:p>
        </w:tc>
        <w:tc>
          <w:tcPr>
            <w:tcW w:w="4230" w:type="dxa"/>
          </w:tcPr>
          <w:p w14:paraId="4CBAE86B" w14:textId="77777777" w:rsidR="003D767B" w:rsidRPr="00925CB8" w:rsidRDefault="003D767B" w:rsidP="005C25FF">
            <w:pPr>
              <w:spacing w:after="0" w:line="240" w:lineRule="auto"/>
              <w:ind w:right="162"/>
              <w:jc w:val="both"/>
              <w:rPr>
                <w:rFonts w:ascii="Arial" w:hAnsi="Arial" w:cs="Arial"/>
                <w:sz w:val="22"/>
                <w:szCs w:val="22"/>
              </w:rPr>
            </w:pPr>
            <w:r w:rsidRPr="00925CB8">
              <w:rPr>
                <w:rFonts w:ascii="Arial" w:hAnsi="Arial" w:cs="Arial"/>
                <w:sz w:val="22"/>
                <w:szCs w:val="22"/>
              </w:rPr>
              <w:t>Vice Chairman and General Manager</w:t>
            </w:r>
          </w:p>
        </w:tc>
      </w:tr>
      <w:tr w:rsidR="00925CB8" w:rsidRPr="00925CB8" w14:paraId="4C80DDAE" w14:textId="77777777" w:rsidTr="001359C7">
        <w:tc>
          <w:tcPr>
            <w:tcW w:w="3330" w:type="dxa"/>
          </w:tcPr>
          <w:p w14:paraId="13D2876E" w14:textId="77777777" w:rsidR="003D767B" w:rsidRPr="00925CB8" w:rsidRDefault="003D767B" w:rsidP="005C25FF">
            <w:pPr>
              <w:spacing w:after="0" w:line="240" w:lineRule="auto"/>
              <w:ind w:right="72"/>
              <w:jc w:val="both"/>
              <w:rPr>
                <w:rFonts w:ascii="Arial" w:hAnsi="Arial" w:cs="Arial"/>
                <w:sz w:val="22"/>
                <w:szCs w:val="22"/>
              </w:rPr>
            </w:pPr>
            <w:r w:rsidRPr="00925CB8">
              <w:rPr>
                <w:rFonts w:ascii="Arial" w:hAnsi="Arial" w:cs="Arial"/>
                <w:sz w:val="22"/>
                <w:szCs w:val="22"/>
              </w:rPr>
              <w:t>Jennifer E. Liong</w:t>
            </w:r>
            <w:r w:rsidR="001359C7" w:rsidRPr="00925CB8">
              <w:rPr>
                <w:rFonts w:ascii="Arial" w:hAnsi="Arial" w:cs="Arial"/>
                <w:sz w:val="22"/>
                <w:szCs w:val="22"/>
              </w:rPr>
              <w:t>son-Guevara</w:t>
            </w:r>
          </w:p>
        </w:tc>
        <w:tc>
          <w:tcPr>
            <w:tcW w:w="270" w:type="dxa"/>
          </w:tcPr>
          <w:p w14:paraId="0EA23040" w14:textId="77777777" w:rsidR="003D767B" w:rsidRPr="00925CB8" w:rsidRDefault="001359C7" w:rsidP="005C25FF">
            <w:pPr>
              <w:spacing w:after="0" w:line="240" w:lineRule="auto"/>
              <w:ind w:right="2340"/>
              <w:jc w:val="both"/>
              <w:rPr>
                <w:rFonts w:ascii="Arial" w:hAnsi="Arial" w:cs="Arial"/>
                <w:sz w:val="22"/>
                <w:szCs w:val="22"/>
              </w:rPr>
            </w:pPr>
            <w:r w:rsidRPr="00925CB8">
              <w:rPr>
                <w:rFonts w:ascii="Arial" w:hAnsi="Arial" w:cs="Arial"/>
                <w:sz w:val="22"/>
                <w:szCs w:val="22"/>
              </w:rPr>
              <w:t>-</w:t>
            </w:r>
          </w:p>
        </w:tc>
        <w:tc>
          <w:tcPr>
            <w:tcW w:w="4230" w:type="dxa"/>
          </w:tcPr>
          <w:p w14:paraId="7F21BDF2" w14:textId="77777777" w:rsidR="003D767B" w:rsidRPr="00925CB8" w:rsidRDefault="001359C7" w:rsidP="005C25FF">
            <w:pPr>
              <w:spacing w:after="0" w:line="240" w:lineRule="auto"/>
              <w:ind w:right="2340"/>
              <w:jc w:val="both"/>
              <w:rPr>
                <w:rFonts w:ascii="Arial" w:hAnsi="Arial" w:cs="Arial"/>
                <w:sz w:val="22"/>
                <w:szCs w:val="22"/>
              </w:rPr>
            </w:pPr>
            <w:r w:rsidRPr="00925CB8">
              <w:rPr>
                <w:rFonts w:ascii="Arial" w:hAnsi="Arial" w:cs="Arial"/>
                <w:sz w:val="22"/>
                <w:szCs w:val="22"/>
              </w:rPr>
              <w:t>Member</w:t>
            </w:r>
          </w:p>
        </w:tc>
      </w:tr>
      <w:tr w:rsidR="00925CB8" w:rsidRPr="00925CB8" w14:paraId="259BF862" w14:textId="77777777" w:rsidTr="001359C7">
        <w:tc>
          <w:tcPr>
            <w:tcW w:w="3330" w:type="dxa"/>
          </w:tcPr>
          <w:p w14:paraId="06C5444A" w14:textId="77777777" w:rsidR="003D767B" w:rsidRPr="00925CB8" w:rsidRDefault="001359C7" w:rsidP="005C25FF">
            <w:pPr>
              <w:spacing w:after="0" w:line="240" w:lineRule="auto"/>
              <w:ind w:right="-18"/>
              <w:jc w:val="both"/>
              <w:rPr>
                <w:rFonts w:ascii="Arial" w:hAnsi="Arial" w:cs="Arial"/>
                <w:sz w:val="22"/>
                <w:szCs w:val="22"/>
              </w:rPr>
            </w:pPr>
            <w:r w:rsidRPr="00925CB8">
              <w:rPr>
                <w:rFonts w:ascii="Arial" w:hAnsi="Arial" w:cs="Arial"/>
                <w:sz w:val="22"/>
                <w:szCs w:val="22"/>
              </w:rPr>
              <w:t>Judge Felix P. Reyes (Ret.)</w:t>
            </w:r>
          </w:p>
        </w:tc>
        <w:tc>
          <w:tcPr>
            <w:tcW w:w="270" w:type="dxa"/>
          </w:tcPr>
          <w:p w14:paraId="58D989D2" w14:textId="77777777" w:rsidR="003D767B" w:rsidRPr="00925CB8" w:rsidRDefault="001359C7" w:rsidP="005C25FF">
            <w:pPr>
              <w:spacing w:after="0" w:line="240" w:lineRule="auto"/>
              <w:ind w:right="2340"/>
              <w:jc w:val="both"/>
              <w:rPr>
                <w:rFonts w:ascii="Arial" w:hAnsi="Arial" w:cs="Arial"/>
                <w:sz w:val="22"/>
                <w:szCs w:val="22"/>
              </w:rPr>
            </w:pPr>
            <w:r w:rsidRPr="00925CB8">
              <w:rPr>
                <w:rFonts w:ascii="Arial" w:hAnsi="Arial" w:cs="Arial"/>
                <w:sz w:val="22"/>
                <w:szCs w:val="22"/>
              </w:rPr>
              <w:t>-</w:t>
            </w:r>
          </w:p>
        </w:tc>
        <w:tc>
          <w:tcPr>
            <w:tcW w:w="4230" w:type="dxa"/>
          </w:tcPr>
          <w:p w14:paraId="2C892D4F" w14:textId="77777777" w:rsidR="003D767B" w:rsidRPr="00925CB8" w:rsidRDefault="001359C7" w:rsidP="005C25FF">
            <w:pPr>
              <w:spacing w:after="0" w:line="240" w:lineRule="auto"/>
              <w:ind w:right="2340"/>
              <w:jc w:val="both"/>
              <w:rPr>
                <w:rFonts w:ascii="Arial" w:hAnsi="Arial" w:cs="Arial"/>
                <w:sz w:val="22"/>
                <w:szCs w:val="22"/>
              </w:rPr>
            </w:pPr>
            <w:r w:rsidRPr="00925CB8">
              <w:rPr>
                <w:rFonts w:ascii="Arial" w:hAnsi="Arial" w:cs="Arial"/>
                <w:sz w:val="22"/>
                <w:szCs w:val="22"/>
              </w:rPr>
              <w:t>Member</w:t>
            </w:r>
          </w:p>
        </w:tc>
      </w:tr>
      <w:tr w:rsidR="00925CB8" w:rsidRPr="00925CB8" w14:paraId="14EDF6DD" w14:textId="77777777" w:rsidTr="001359C7">
        <w:tc>
          <w:tcPr>
            <w:tcW w:w="3330" w:type="dxa"/>
          </w:tcPr>
          <w:p w14:paraId="6B94826B" w14:textId="77777777" w:rsidR="003D767B" w:rsidRPr="00925CB8" w:rsidRDefault="001359C7" w:rsidP="005C25FF">
            <w:pPr>
              <w:spacing w:after="0" w:line="240" w:lineRule="auto"/>
              <w:jc w:val="both"/>
              <w:rPr>
                <w:rFonts w:ascii="Arial" w:hAnsi="Arial" w:cs="Arial"/>
                <w:sz w:val="22"/>
                <w:szCs w:val="22"/>
              </w:rPr>
            </w:pPr>
            <w:r w:rsidRPr="00925CB8">
              <w:rPr>
                <w:rFonts w:ascii="Arial" w:hAnsi="Arial" w:cs="Arial"/>
                <w:sz w:val="22"/>
                <w:szCs w:val="22"/>
              </w:rPr>
              <w:t>Janet De Leon Mercado</w:t>
            </w:r>
          </w:p>
        </w:tc>
        <w:tc>
          <w:tcPr>
            <w:tcW w:w="270" w:type="dxa"/>
          </w:tcPr>
          <w:p w14:paraId="3B5C3344" w14:textId="77777777" w:rsidR="003D767B" w:rsidRPr="00925CB8" w:rsidRDefault="001359C7" w:rsidP="005C25FF">
            <w:pPr>
              <w:spacing w:after="0" w:line="240" w:lineRule="auto"/>
              <w:ind w:right="2340"/>
              <w:jc w:val="both"/>
              <w:rPr>
                <w:rFonts w:ascii="Arial" w:hAnsi="Arial" w:cs="Arial"/>
                <w:sz w:val="22"/>
                <w:szCs w:val="22"/>
              </w:rPr>
            </w:pPr>
            <w:r w:rsidRPr="00925CB8">
              <w:rPr>
                <w:rFonts w:ascii="Arial" w:hAnsi="Arial" w:cs="Arial"/>
                <w:sz w:val="22"/>
                <w:szCs w:val="22"/>
              </w:rPr>
              <w:t>-</w:t>
            </w:r>
          </w:p>
        </w:tc>
        <w:tc>
          <w:tcPr>
            <w:tcW w:w="4230" w:type="dxa"/>
          </w:tcPr>
          <w:p w14:paraId="5B277CDC" w14:textId="77777777" w:rsidR="003D767B" w:rsidRPr="00925CB8" w:rsidRDefault="001359C7" w:rsidP="005C25FF">
            <w:pPr>
              <w:spacing w:after="0" w:line="240" w:lineRule="auto"/>
              <w:ind w:right="2340"/>
              <w:jc w:val="both"/>
              <w:rPr>
                <w:rFonts w:ascii="Arial" w:hAnsi="Arial" w:cs="Arial"/>
                <w:sz w:val="22"/>
                <w:szCs w:val="22"/>
              </w:rPr>
            </w:pPr>
            <w:r w:rsidRPr="00925CB8">
              <w:rPr>
                <w:rFonts w:ascii="Arial" w:hAnsi="Arial" w:cs="Arial"/>
                <w:sz w:val="22"/>
                <w:szCs w:val="22"/>
              </w:rPr>
              <w:t>Member</w:t>
            </w:r>
          </w:p>
        </w:tc>
      </w:tr>
      <w:tr w:rsidR="00925CB8" w:rsidRPr="00925CB8" w14:paraId="7919A495" w14:textId="77777777" w:rsidTr="001359C7">
        <w:tc>
          <w:tcPr>
            <w:tcW w:w="3330" w:type="dxa"/>
          </w:tcPr>
          <w:p w14:paraId="08244831" w14:textId="77777777" w:rsidR="003D767B" w:rsidRPr="00925CB8" w:rsidRDefault="0084620C" w:rsidP="005C25FF">
            <w:pPr>
              <w:spacing w:after="0" w:line="240" w:lineRule="auto"/>
              <w:ind w:right="72"/>
              <w:jc w:val="both"/>
              <w:rPr>
                <w:rFonts w:ascii="Arial" w:hAnsi="Arial" w:cs="Arial"/>
                <w:sz w:val="22"/>
                <w:szCs w:val="22"/>
              </w:rPr>
            </w:pPr>
            <w:r w:rsidRPr="00925CB8">
              <w:rPr>
                <w:rFonts w:ascii="Arial" w:hAnsi="Arial" w:cs="Arial"/>
                <w:sz w:val="22"/>
                <w:szCs w:val="22"/>
              </w:rPr>
              <w:t>Atty. Charles Frederick T. Co</w:t>
            </w:r>
          </w:p>
        </w:tc>
        <w:tc>
          <w:tcPr>
            <w:tcW w:w="270" w:type="dxa"/>
          </w:tcPr>
          <w:p w14:paraId="72F23359" w14:textId="77777777" w:rsidR="003D767B" w:rsidRPr="00925CB8" w:rsidRDefault="00217C74" w:rsidP="005C25FF">
            <w:pPr>
              <w:spacing w:after="0" w:line="240" w:lineRule="auto"/>
              <w:ind w:right="2340"/>
              <w:jc w:val="both"/>
              <w:rPr>
                <w:rFonts w:ascii="Arial" w:hAnsi="Arial" w:cs="Arial"/>
                <w:sz w:val="22"/>
                <w:szCs w:val="22"/>
              </w:rPr>
            </w:pPr>
            <w:r w:rsidRPr="00925CB8">
              <w:rPr>
                <w:rFonts w:ascii="Arial" w:hAnsi="Arial" w:cs="Arial"/>
                <w:sz w:val="22"/>
                <w:szCs w:val="22"/>
              </w:rPr>
              <w:t>-</w:t>
            </w:r>
          </w:p>
        </w:tc>
        <w:tc>
          <w:tcPr>
            <w:tcW w:w="4230" w:type="dxa"/>
          </w:tcPr>
          <w:p w14:paraId="50A8DC56" w14:textId="77777777" w:rsidR="003D767B" w:rsidRPr="00925CB8" w:rsidRDefault="001359C7" w:rsidP="005C25FF">
            <w:pPr>
              <w:spacing w:after="0" w:line="240" w:lineRule="auto"/>
              <w:ind w:right="2340"/>
              <w:jc w:val="both"/>
              <w:rPr>
                <w:rFonts w:ascii="Arial" w:hAnsi="Arial" w:cs="Arial"/>
                <w:sz w:val="22"/>
                <w:szCs w:val="22"/>
              </w:rPr>
            </w:pPr>
            <w:r w:rsidRPr="00925CB8">
              <w:rPr>
                <w:rFonts w:ascii="Arial" w:hAnsi="Arial" w:cs="Arial"/>
                <w:sz w:val="22"/>
                <w:szCs w:val="22"/>
              </w:rPr>
              <w:t>Board Secretary</w:t>
            </w:r>
          </w:p>
        </w:tc>
      </w:tr>
      <w:tr w:rsidR="00925CB8" w:rsidRPr="00925CB8" w14:paraId="4549257C" w14:textId="77777777" w:rsidTr="001359C7">
        <w:tc>
          <w:tcPr>
            <w:tcW w:w="3330" w:type="dxa"/>
          </w:tcPr>
          <w:p w14:paraId="67CBE40F" w14:textId="77777777" w:rsidR="003D767B" w:rsidRPr="00925CB8" w:rsidRDefault="003D767B" w:rsidP="003D767B">
            <w:pPr>
              <w:spacing w:after="0" w:line="240" w:lineRule="auto"/>
              <w:ind w:right="2340"/>
              <w:jc w:val="both"/>
              <w:rPr>
                <w:rFonts w:ascii="Arial" w:hAnsi="Arial" w:cs="Arial"/>
                <w:sz w:val="22"/>
                <w:szCs w:val="22"/>
              </w:rPr>
            </w:pPr>
          </w:p>
        </w:tc>
        <w:tc>
          <w:tcPr>
            <w:tcW w:w="270" w:type="dxa"/>
          </w:tcPr>
          <w:p w14:paraId="13F8FE13" w14:textId="77777777" w:rsidR="003D767B" w:rsidRPr="00925CB8" w:rsidRDefault="003D767B" w:rsidP="003D767B">
            <w:pPr>
              <w:spacing w:after="0" w:line="240" w:lineRule="auto"/>
              <w:ind w:right="2340"/>
              <w:jc w:val="both"/>
              <w:rPr>
                <w:rFonts w:ascii="Arial" w:hAnsi="Arial" w:cs="Arial"/>
                <w:sz w:val="22"/>
                <w:szCs w:val="22"/>
              </w:rPr>
            </w:pPr>
          </w:p>
        </w:tc>
        <w:tc>
          <w:tcPr>
            <w:tcW w:w="4230" w:type="dxa"/>
          </w:tcPr>
          <w:p w14:paraId="5237E496" w14:textId="77777777" w:rsidR="003D767B" w:rsidRPr="00925CB8" w:rsidRDefault="003D767B" w:rsidP="003D767B">
            <w:pPr>
              <w:spacing w:after="0" w:line="240" w:lineRule="auto"/>
              <w:ind w:right="2340"/>
              <w:jc w:val="both"/>
              <w:rPr>
                <w:rFonts w:ascii="Arial" w:hAnsi="Arial" w:cs="Arial"/>
                <w:sz w:val="22"/>
                <w:szCs w:val="22"/>
              </w:rPr>
            </w:pPr>
          </w:p>
        </w:tc>
      </w:tr>
    </w:tbl>
    <w:p w14:paraId="222FDB78" w14:textId="77777777" w:rsidR="00B4130A" w:rsidRPr="00925CB8" w:rsidRDefault="00B4130A" w:rsidP="00B4130A">
      <w:pPr>
        <w:spacing w:after="0" w:line="240" w:lineRule="auto"/>
        <w:jc w:val="both"/>
        <w:rPr>
          <w:rFonts w:ascii="Arial" w:hAnsi="Arial" w:cs="Arial"/>
          <w:b/>
        </w:rPr>
      </w:pPr>
      <w:r w:rsidRPr="00925CB8">
        <w:rPr>
          <w:rFonts w:ascii="Arial" w:hAnsi="Arial" w:cs="Arial"/>
        </w:rPr>
        <w:t xml:space="preserve">The total manpower complement of </w:t>
      </w:r>
      <w:r w:rsidR="00E51909" w:rsidRPr="00925CB8">
        <w:rPr>
          <w:rFonts w:ascii="Arial" w:hAnsi="Arial" w:cs="Arial"/>
        </w:rPr>
        <w:t>the PCSO as of December 31, 2023</w:t>
      </w:r>
      <w:r w:rsidR="00996BD1" w:rsidRPr="00925CB8">
        <w:rPr>
          <w:rFonts w:ascii="Arial" w:hAnsi="Arial" w:cs="Arial"/>
        </w:rPr>
        <w:t xml:space="preserve"> is </w:t>
      </w:r>
      <w:r w:rsidR="0084620C" w:rsidRPr="00925CB8">
        <w:rPr>
          <w:rFonts w:ascii="Arial" w:hAnsi="Arial" w:cs="Arial"/>
        </w:rPr>
        <w:t>1,890</w:t>
      </w:r>
      <w:r w:rsidRPr="00925CB8">
        <w:rPr>
          <w:rFonts w:ascii="Arial" w:hAnsi="Arial" w:cs="Arial"/>
        </w:rPr>
        <w:t xml:space="preserve">, broken down as follows:  </w:t>
      </w:r>
    </w:p>
    <w:p w14:paraId="210340C5" w14:textId="77777777" w:rsidR="00B4130A" w:rsidRPr="00925CB8" w:rsidRDefault="00B4130A" w:rsidP="00B4130A">
      <w:pPr>
        <w:spacing w:after="0" w:line="240" w:lineRule="auto"/>
        <w:ind w:firstLine="720"/>
        <w:jc w:val="both"/>
        <w:rPr>
          <w:rFonts w:ascii="Arial" w:hAnsi="Arial" w:cs="Arial"/>
          <w:sz w:val="20"/>
          <w:szCs w:val="20"/>
        </w:rPr>
      </w:pPr>
    </w:p>
    <w:tbl>
      <w:tblPr>
        <w:tblStyle w:val="TableGrid"/>
        <w:tblW w:w="8655" w:type="dxa"/>
        <w:jc w:val="righ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0"/>
        <w:gridCol w:w="2130"/>
        <w:gridCol w:w="1957"/>
        <w:gridCol w:w="1688"/>
      </w:tblGrid>
      <w:tr w:rsidR="00925CB8" w:rsidRPr="00925CB8" w14:paraId="3F8F0C60" w14:textId="77777777" w:rsidTr="0087492D">
        <w:trPr>
          <w:jc w:val="right"/>
        </w:trPr>
        <w:tc>
          <w:tcPr>
            <w:tcW w:w="2880" w:type="dxa"/>
            <w:tcBorders>
              <w:top w:val="single" w:sz="4" w:space="0" w:color="auto"/>
              <w:left w:val="nil"/>
              <w:bottom w:val="single" w:sz="4" w:space="0" w:color="auto"/>
              <w:right w:val="nil"/>
            </w:tcBorders>
            <w:vAlign w:val="center"/>
            <w:hideMark/>
          </w:tcPr>
          <w:p w14:paraId="14D8858F" w14:textId="77777777" w:rsidR="00B4130A" w:rsidRPr="00925CB8" w:rsidRDefault="00B4130A" w:rsidP="0087492D">
            <w:pPr>
              <w:spacing w:after="0" w:line="240" w:lineRule="auto"/>
              <w:ind w:left="-108"/>
              <w:rPr>
                <w:rFonts w:ascii="Arial Narrow" w:hAnsi="Arial Narrow" w:cs="Arial"/>
                <w:b/>
                <w:bCs/>
                <w:lang w:eastAsia="en-PH"/>
              </w:rPr>
            </w:pPr>
            <w:r w:rsidRPr="00925CB8">
              <w:rPr>
                <w:rFonts w:ascii="Arial Narrow" w:hAnsi="Arial Narrow" w:cs="Arial"/>
                <w:b/>
                <w:bCs/>
                <w:lang w:eastAsia="en-PH"/>
              </w:rPr>
              <w:t>Particulars</w:t>
            </w:r>
          </w:p>
        </w:tc>
        <w:tc>
          <w:tcPr>
            <w:tcW w:w="2130" w:type="dxa"/>
            <w:tcBorders>
              <w:top w:val="single" w:sz="4" w:space="0" w:color="auto"/>
              <w:left w:val="nil"/>
              <w:bottom w:val="single" w:sz="4" w:space="0" w:color="auto"/>
              <w:right w:val="nil"/>
            </w:tcBorders>
            <w:vAlign w:val="center"/>
            <w:hideMark/>
          </w:tcPr>
          <w:p w14:paraId="51887712" w14:textId="77777777" w:rsidR="00B4130A" w:rsidRPr="00925CB8" w:rsidRDefault="00B4130A">
            <w:pPr>
              <w:spacing w:after="0" w:line="240" w:lineRule="auto"/>
              <w:jc w:val="right"/>
              <w:rPr>
                <w:rFonts w:ascii="Arial Narrow" w:hAnsi="Arial Narrow" w:cs="Arial"/>
                <w:b/>
                <w:bCs/>
                <w:lang w:eastAsia="en-PH"/>
              </w:rPr>
            </w:pPr>
            <w:r w:rsidRPr="00925CB8">
              <w:rPr>
                <w:rFonts w:ascii="Arial Narrow" w:hAnsi="Arial Narrow" w:cs="Arial"/>
                <w:b/>
                <w:bCs/>
                <w:lang w:eastAsia="en-PH"/>
              </w:rPr>
              <w:t>Head Office</w:t>
            </w:r>
          </w:p>
        </w:tc>
        <w:tc>
          <w:tcPr>
            <w:tcW w:w="1957" w:type="dxa"/>
            <w:tcBorders>
              <w:top w:val="single" w:sz="4" w:space="0" w:color="auto"/>
              <w:left w:val="nil"/>
              <w:bottom w:val="single" w:sz="4" w:space="0" w:color="auto"/>
              <w:right w:val="nil"/>
            </w:tcBorders>
            <w:vAlign w:val="center"/>
            <w:hideMark/>
          </w:tcPr>
          <w:p w14:paraId="7B4CC93F" w14:textId="77777777" w:rsidR="00B4130A" w:rsidRPr="00925CB8" w:rsidRDefault="00B4130A">
            <w:pPr>
              <w:spacing w:after="0" w:line="240" w:lineRule="auto"/>
              <w:jc w:val="right"/>
              <w:rPr>
                <w:rFonts w:ascii="Arial Narrow" w:hAnsi="Arial Narrow" w:cs="Arial"/>
                <w:b/>
                <w:bCs/>
                <w:lang w:eastAsia="en-PH"/>
              </w:rPr>
            </w:pPr>
            <w:r w:rsidRPr="00925CB8">
              <w:rPr>
                <w:rFonts w:ascii="Arial Narrow" w:hAnsi="Arial Narrow" w:cs="Arial"/>
                <w:b/>
                <w:bCs/>
                <w:lang w:eastAsia="en-PH"/>
              </w:rPr>
              <w:t>Branch Offices</w:t>
            </w:r>
          </w:p>
        </w:tc>
        <w:tc>
          <w:tcPr>
            <w:tcW w:w="1688" w:type="dxa"/>
            <w:tcBorders>
              <w:top w:val="single" w:sz="4" w:space="0" w:color="auto"/>
              <w:left w:val="nil"/>
              <w:bottom w:val="single" w:sz="4" w:space="0" w:color="auto"/>
              <w:right w:val="nil"/>
            </w:tcBorders>
            <w:vAlign w:val="center"/>
            <w:hideMark/>
          </w:tcPr>
          <w:p w14:paraId="4BD182AD" w14:textId="77777777" w:rsidR="00B4130A" w:rsidRPr="00925CB8" w:rsidRDefault="00B4130A">
            <w:pPr>
              <w:spacing w:after="0" w:line="240" w:lineRule="auto"/>
              <w:ind w:right="-79"/>
              <w:jc w:val="right"/>
              <w:rPr>
                <w:rFonts w:ascii="Arial Narrow" w:hAnsi="Arial Narrow" w:cs="Arial"/>
                <w:b/>
                <w:bCs/>
                <w:lang w:eastAsia="en-PH"/>
              </w:rPr>
            </w:pPr>
            <w:r w:rsidRPr="00925CB8">
              <w:rPr>
                <w:rFonts w:ascii="Arial Narrow" w:hAnsi="Arial Narrow" w:cs="Arial"/>
                <w:b/>
                <w:bCs/>
                <w:lang w:eastAsia="en-PH"/>
              </w:rPr>
              <w:t>Total</w:t>
            </w:r>
          </w:p>
        </w:tc>
      </w:tr>
      <w:tr w:rsidR="00925CB8" w:rsidRPr="00925CB8" w14:paraId="6D7AE71B" w14:textId="77777777" w:rsidTr="0087492D">
        <w:trPr>
          <w:jc w:val="right"/>
        </w:trPr>
        <w:tc>
          <w:tcPr>
            <w:tcW w:w="2880" w:type="dxa"/>
            <w:tcBorders>
              <w:top w:val="single" w:sz="4" w:space="0" w:color="auto"/>
              <w:left w:val="nil"/>
              <w:bottom w:val="nil"/>
              <w:right w:val="nil"/>
            </w:tcBorders>
            <w:vAlign w:val="bottom"/>
            <w:hideMark/>
          </w:tcPr>
          <w:p w14:paraId="6DDA9D6F" w14:textId="77777777" w:rsidR="00B4130A" w:rsidRPr="00925CB8" w:rsidRDefault="00B4130A">
            <w:pPr>
              <w:spacing w:after="0" w:line="240" w:lineRule="auto"/>
              <w:ind w:left="-110"/>
              <w:rPr>
                <w:rFonts w:ascii="Arial Narrow" w:hAnsi="Arial Narrow" w:cs="Arial"/>
                <w:lang w:eastAsia="en-PH"/>
              </w:rPr>
            </w:pPr>
            <w:r w:rsidRPr="00925CB8">
              <w:rPr>
                <w:rFonts w:ascii="Arial Narrow" w:hAnsi="Arial Narrow" w:cs="Arial"/>
                <w:lang w:eastAsia="en-PH"/>
              </w:rPr>
              <w:t>Permanent employees</w:t>
            </w:r>
          </w:p>
        </w:tc>
        <w:tc>
          <w:tcPr>
            <w:tcW w:w="2130" w:type="dxa"/>
            <w:tcBorders>
              <w:top w:val="single" w:sz="4" w:space="0" w:color="auto"/>
              <w:left w:val="nil"/>
              <w:bottom w:val="nil"/>
              <w:right w:val="nil"/>
            </w:tcBorders>
            <w:vAlign w:val="bottom"/>
          </w:tcPr>
          <w:p w14:paraId="76D68E00"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528</w:t>
            </w:r>
          </w:p>
        </w:tc>
        <w:tc>
          <w:tcPr>
            <w:tcW w:w="1957" w:type="dxa"/>
            <w:tcBorders>
              <w:top w:val="single" w:sz="4" w:space="0" w:color="auto"/>
              <w:left w:val="nil"/>
              <w:bottom w:val="nil"/>
              <w:right w:val="nil"/>
            </w:tcBorders>
            <w:vAlign w:val="bottom"/>
          </w:tcPr>
          <w:p w14:paraId="20129EBF"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516</w:t>
            </w:r>
          </w:p>
        </w:tc>
        <w:tc>
          <w:tcPr>
            <w:tcW w:w="1688" w:type="dxa"/>
            <w:tcBorders>
              <w:top w:val="single" w:sz="4" w:space="0" w:color="auto"/>
              <w:left w:val="nil"/>
              <w:bottom w:val="nil"/>
              <w:right w:val="nil"/>
            </w:tcBorders>
            <w:vAlign w:val="bottom"/>
          </w:tcPr>
          <w:p w14:paraId="0560CBE6" w14:textId="77777777" w:rsidR="00B4130A" w:rsidRPr="00925CB8" w:rsidRDefault="00217C74" w:rsidP="0084620C">
            <w:pPr>
              <w:spacing w:after="0" w:line="240" w:lineRule="auto"/>
              <w:ind w:right="-110"/>
              <w:jc w:val="right"/>
              <w:rPr>
                <w:rFonts w:ascii="Arial Narrow" w:hAnsi="Arial Narrow" w:cs="Arial"/>
                <w:lang w:eastAsia="en-PH"/>
              </w:rPr>
            </w:pPr>
            <w:r w:rsidRPr="00925CB8">
              <w:rPr>
                <w:rFonts w:ascii="Arial Narrow" w:hAnsi="Arial Narrow" w:cs="Arial"/>
                <w:lang w:eastAsia="en-PH"/>
              </w:rPr>
              <w:t>1,0</w:t>
            </w:r>
            <w:r w:rsidR="0084620C" w:rsidRPr="00925CB8">
              <w:rPr>
                <w:rFonts w:ascii="Arial Narrow" w:hAnsi="Arial Narrow" w:cs="Arial"/>
                <w:lang w:eastAsia="en-PH"/>
              </w:rPr>
              <w:t>44</w:t>
            </w:r>
          </w:p>
        </w:tc>
      </w:tr>
      <w:tr w:rsidR="00925CB8" w:rsidRPr="00925CB8" w14:paraId="112CA8BB" w14:textId="77777777" w:rsidTr="0087492D">
        <w:trPr>
          <w:jc w:val="right"/>
        </w:trPr>
        <w:tc>
          <w:tcPr>
            <w:tcW w:w="2880" w:type="dxa"/>
            <w:tcBorders>
              <w:top w:val="nil"/>
              <w:left w:val="nil"/>
              <w:bottom w:val="nil"/>
              <w:right w:val="nil"/>
            </w:tcBorders>
            <w:vAlign w:val="bottom"/>
            <w:hideMark/>
          </w:tcPr>
          <w:p w14:paraId="1F00EBA0" w14:textId="77777777" w:rsidR="00B4130A" w:rsidRPr="00925CB8" w:rsidRDefault="00B4130A">
            <w:pPr>
              <w:spacing w:after="0" w:line="240" w:lineRule="auto"/>
              <w:ind w:left="-110"/>
              <w:rPr>
                <w:rFonts w:ascii="Arial Narrow" w:hAnsi="Arial Narrow" w:cs="Arial"/>
                <w:lang w:eastAsia="en-PH"/>
              </w:rPr>
            </w:pPr>
            <w:r w:rsidRPr="00925CB8">
              <w:rPr>
                <w:rFonts w:ascii="Arial Narrow" w:hAnsi="Arial Narrow" w:cs="Arial"/>
                <w:lang w:eastAsia="en-PH"/>
              </w:rPr>
              <w:t>Co-terminous</w:t>
            </w:r>
          </w:p>
        </w:tc>
        <w:tc>
          <w:tcPr>
            <w:tcW w:w="2130" w:type="dxa"/>
            <w:tcBorders>
              <w:top w:val="nil"/>
              <w:left w:val="nil"/>
              <w:bottom w:val="nil"/>
              <w:right w:val="nil"/>
            </w:tcBorders>
            <w:vAlign w:val="bottom"/>
          </w:tcPr>
          <w:p w14:paraId="015C1380"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54</w:t>
            </w:r>
          </w:p>
        </w:tc>
        <w:tc>
          <w:tcPr>
            <w:tcW w:w="1957" w:type="dxa"/>
            <w:tcBorders>
              <w:top w:val="nil"/>
              <w:left w:val="nil"/>
              <w:bottom w:val="nil"/>
              <w:right w:val="nil"/>
            </w:tcBorders>
            <w:vAlign w:val="bottom"/>
          </w:tcPr>
          <w:p w14:paraId="4464B5B8"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1</w:t>
            </w:r>
          </w:p>
        </w:tc>
        <w:tc>
          <w:tcPr>
            <w:tcW w:w="1688" w:type="dxa"/>
            <w:tcBorders>
              <w:top w:val="nil"/>
              <w:left w:val="nil"/>
              <w:bottom w:val="nil"/>
              <w:right w:val="nil"/>
            </w:tcBorders>
            <w:vAlign w:val="bottom"/>
          </w:tcPr>
          <w:p w14:paraId="669C31BA" w14:textId="77777777" w:rsidR="00B4130A" w:rsidRPr="00925CB8" w:rsidRDefault="0084620C">
            <w:pPr>
              <w:spacing w:after="0" w:line="240" w:lineRule="auto"/>
              <w:ind w:right="-110"/>
              <w:jc w:val="right"/>
              <w:rPr>
                <w:rFonts w:ascii="Arial Narrow" w:hAnsi="Arial Narrow" w:cs="Arial"/>
                <w:lang w:eastAsia="en-PH"/>
              </w:rPr>
            </w:pPr>
            <w:r w:rsidRPr="00925CB8">
              <w:rPr>
                <w:rFonts w:ascii="Arial Narrow" w:hAnsi="Arial Narrow" w:cs="Arial"/>
                <w:lang w:eastAsia="en-PH"/>
              </w:rPr>
              <w:t>55</w:t>
            </w:r>
          </w:p>
        </w:tc>
      </w:tr>
      <w:tr w:rsidR="00925CB8" w:rsidRPr="00925CB8" w14:paraId="6FE19D40" w14:textId="77777777" w:rsidTr="0087492D">
        <w:trPr>
          <w:jc w:val="right"/>
        </w:trPr>
        <w:tc>
          <w:tcPr>
            <w:tcW w:w="2880" w:type="dxa"/>
            <w:tcBorders>
              <w:top w:val="nil"/>
              <w:left w:val="nil"/>
              <w:bottom w:val="nil"/>
              <w:right w:val="nil"/>
            </w:tcBorders>
            <w:vAlign w:val="bottom"/>
          </w:tcPr>
          <w:p w14:paraId="7951C095" w14:textId="77777777" w:rsidR="0084620C" w:rsidRPr="00925CB8" w:rsidRDefault="0084620C">
            <w:pPr>
              <w:spacing w:after="0" w:line="240" w:lineRule="auto"/>
              <w:ind w:left="-110"/>
              <w:rPr>
                <w:rFonts w:ascii="Arial Narrow" w:hAnsi="Arial Narrow" w:cs="Arial"/>
                <w:lang w:eastAsia="en-PH"/>
              </w:rPr>
            </w:pPr>
            <w:r w:rsidRPr="00925CB8">
              <w:rPr>
                <w:rFonts w:ascii="Arial Narrow" w:hAnsi="Arial Narrow" w:cs="Arial"/>
                <w:lang w:eastAsia="en-PH"/>
              </w:rPr>
              <w:t>Co-terminous to the Incumbet</w:t>
            </w:r>
          </w:p>
        </w:tc>
        <w:tc>
          <w:tcPr>
            <w:tcW w:w="2130" w:type="dxa"/>
            <w:tcBorders>
              <w:top w:val="nil"/>
              <w:left w:val="nil"/>
              <w:bottom w:val="nil"/>
              <w:right w:val="nil"/>
            </w:tcBorders>
            <w:vAlign w:val="bottom"/>
          </w:tcPr>
          <w:p w14:paraId="50560C3D" w14:textId="77777777" w:rsidR="0084620C"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10</w:t>
            </w:r>
          </w:p>
        </w:tc>
        <w:tc>
          <w:tcPr>
            <w:tcW w:w="1957" w:type="dxa"/>
            <w:tcBorders>
              <w:top w:val="nil"/>
              <w:left w:val="nil"/>
              <w:bottom w:val="nil"/>
              <w:right w:val="nil"/>
            </w:tcBorders>
            <w:vAlign w:val="bottom"/>
          </w:tcPr>
          <w:p w14:paraId="10206099" w14:textId="77777777" w:rsidR="0084620C"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3</w:t>
            </w:r>
          </w:p>
        </w:tc>
        <w:tc>
          <w:tcPr>
            <w:tcW w:w="1688" w:type="dxa"/>
            <w:tcBorders>
              <w:top w:val="nil"/>
              <w:left w:val="nil"/>
              <w:bottom w:val="nil"/>
              <w:right w:val="nil"/>
            </w:tcBorders>
            <w:vAlign w:val="bottom"/>
          </w:tcPr>
          <w:p w14:paraId="4526784B" w14:textId="77777777" w:rsidR="0084620C" w:rsidRPr="00925CB8" w:rsidRDefault="0084620C">
            <w:pPr>
              <w:spacing w:after="0" w:line="240" w:lineRule="auto"/>
              <w:ind w:right="-110"/>
              <w:jc w:val="right"/>
              <w:rPr>
                <w:rFonts w:ascii="Arial Narrow" w:hAnsi="Arial Narrow" w:cs="Arial"/>
                <w:lang w:eastAsia="en-PH"/>
              </w:rPr>
            </w:pPr>
            <w:r w:rsidRPr="00925CB8">
              <w:rPr>
                <w:rFonts w:ascii="Arial Narrow" w:hAnsi="Arial Narrow" w:cs="Arial"/>
                <w:lang w:eastAsia="en-PH"/>
              </w:rPr>
              <w:t>13</w:t>
            </w:r>
          </w:p>
        </w:tc>
      </w:tr>
      <w:tr w:rsidR="00925CB8" w:rsidRPr="00925CB8" w14:paraId="75C100A3" w14:textId="77777777" w:rsidTr="0087492D">
        <w:trPr>
          <w:jc w:val="right"/>
        </w:trPr>
        <w:tc>
          <w:tcPr>
            <w:tcW w:w="2880" w:type="dxa"/>
            <w:tcBorders>
              <w:top w:val="nil"/>
              <w:left w:val="nil"/>
              <w:bottom w:val="nil"/>
              <w:right w:val="nil"/>
            </w:tcBorders>
            <w:vAlign w:val="bottom"/>
            <w:hideMark/>
          </w:tcPr>
          <w:p w14:paraId="3D5A8F72" w14:textId="77777777" w:rsidR="00B4130A" w:rsidRPr="00925CB8" w:rsidRDefault="00B4130A">
            <w:pPr>
              <w:spacing w:after="0" w:line="240" w:lineRule="auto"/>
              <w:ind w:left="-110"/>
              <w:rPr>
                <w:rFonts w:ascii="Arial Narrow" w:hAnsi="Arial Narrow" w:cs="Arial"/>
                <w:lang w:eastAsia="en-PH"/>
              </w:rPr>
            </w:pPr>
            <w:r w:rsidRPr="00925CB8">
              <w:rPr>
                <w:rFonts w:ascii="Arial Narrow" w:hAnsi="Arial Narrow" w:cs="Arial"/>
                <w:lang w:eastAsia="en-PH"/>
              </w:rPr>
              <w:t>Confidential agents</w:t>
            </w:r>
          </w:p>
        </w:tc>
        <w:tc>
          <w:tcPr>
            <w:tcW w:w="2130" w:type="dxa"/>
            <w:tcBorders>
              <w:top w:val="nil"/>
              <w:left w:val="nil"/>
              <w:bottom w:val="nil"/>
              <w:right w:val="nil"/>
            </w:tcBorders>
            <w:vAlign w:val="bottom"/>
          </w:tcPr>
          <w:p w14:paraId="563DD12B"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225</w:t>
            </w:r>
          </w:p>
        </w:tc>
        <w:tc>
          <w:tcPr>
            <w:tcW w:w="1957" w:type="dxa"/>
            <w:tcBorders>
              <w:top w:val="nil"/>
              <w:left w:val="nil"/>
              <w:bottom w:val="nil"/>
              <w:right w:val="nil"/>
            </w:tcBorders>
            <w:vAlign w:val="bottom"/>
          </w:tcPr>
          <w:p w14:paraId="1C8E46C6" w14:textId="77777777" w:rsidR="00B4130A" w:rsidRPr="00925CB8" w:rsidRDefault="00217C74">
            <w:pPr>
              <w:spacing w:after="0" w:line="240" w:lineRule="auto"/>
              <w:jc w:val="right"/>
              <w:rPr>
                <w:rFonts w:ascii="Arial Narrow" w:hAnsi="Arial Narrow" w:cs="Arial"/>
                <w:bCs/>
                <w:lang w:eastAsia="en-PH"/>
              </w:rPr>
            </w:pPr>
            <w:r w:rsidRPr="00925CB8">
              <w:rPr>
                <w:rFonts w:ascii="Arial Narrow" w:hAnsi="Arial Narrow" w:cs="Arial"/>
                <w:bCs/>
                <w:lang w:eastAsia="en-PH"/>
              </w:rPr>
              <w:t>0</w:t>
            </w:r>
          </w:p>
        </w:tc>
        <w:tc>
          <w:tcPr>
            <w:tcW w:w="1688" w:type="dxa"/>
            <w:tcBorders>
              <w:top w:val="nil"/>
              <w:left w:val="nil"/>
              <w:bottom w:val="nil"/>
              <w:right w:val="nil"/>
            </w:tcBorders>
            <w:vAlign w:val="bottom"/>
          </w:tcPr>
          <w:p w14:paraId="193DDFD7" w14:textId="77777777" w:rsidR="00B4130A" w:rsidRPr="00925CB8" w:rsidRDefault="0084620C">
            <w:pPr>
              <w:spacing w:after="0" w:line="240" w:lineRule="auto"/>
              <w:ind w:right="-110"/>
              <w:jc w:val="right"/>
              <w:rPr>
                <w:rFonts w:ascii="Arial Narrow" w:hAnsi="Arial Narrow" w:cs="Arial"/>
                <w:lang w:eastAsia="en-PH"/>
              </w:rPr>
            </w:pPr>
            <w:r w:rsidRPr="00925CB8">
              <w:rPr>
                <w:rFonts w:ascii="Arial Narrow" w:hAnsi="Arial Narrow" w:cs="Arial"/>
                <w:lang w:eastAsia="en-PH"/>
              </w:rPr>
              <w:t>225</w:t>
            </w:r>
          </w:p>
        </w:tc>
      </w:tr>
      <w:tr w:rsidR="00925CB8" w:rsidRPr="00925CB8" w14:paraId="3A0B4D58" w14:textId="77777777" w:rsidTr="0087492D">
        <w:trPr>
          <w:jc w:val="right"/>
        </w:trPr>
        <w:tc>
          <w:tcPr>
            <w:tcW w:w="2880" w:type="dxa"/>
            <w:tcBorders>
              <w:top w:val="nil"/>
              <w:left w:val="nil"/>
              <w:bottom w:val="nil"/>
              <w:right w:val="nil"/>
            </w:tcBorders>
            <w:vAlign w:val="bottom"/>
            <w:hideMark/>
          </w:tcPr>
          <w:p w14:paraId="08425CA3" w14:textId="77777777" w:rsidR="00B4130A" w:rsidRPr="00925CB8" w:rsidRDefault="00B4130A">
            <w:pPr>
              <w:spacing w:after="0" w:line="240" w:lineRule="auto"/>
              <w:ind w:left="-110"/>
              <w:rPr>
                <w:rFonts w:ascii="Arial Narrow" w:hAnsi="Arial Narrow" w:cs="Arial"/>
                <w:lang w:eastAsia="en-PH"/>
              </w:rPr>
            </w:pPr>
            <w:r w:rsidRPr="00925CB8">
              <w:rPr>
                <w:rFonts w:ascii="Arial Narrow" w:hAnsi="Arial Narrow" w:cs="Arial"/>
                <w:lang w:eastAsia="en-PH"/>
              </w:rPr>
              <w:t>Consultants</w:t>
            </w:r>
          </w:p>
        </w:tc>
        <w:tc>
          <w:tcPr>
            <w:tcW w:w="2130" w:type="dxa"/>
            <w:tcBorders>
              <w:top w:val="nil"/>
              <w:left w:val="nil"/>
              <w:bottom w:val="nil"/>
              <w:right w:val="nil"/>
            </w:tcBorders>
            <w:vAlign w:val="bottom"/>
          </w:tcPr>
          <w:p w14:paraId="74E89095"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86</w:t>
            </w:r>
          </w:p>
        </w:tc>
        <w:tc>
          <w:tcPr>
            <w:tcW w:w="1957" w:type="dxa"/>
            <w:tcBorders>
              <w:top w:val="nil"/>
              <w:left w:val="nil"/>
              <w:bottom w:val="nil"/>
              <w:right w:val="nil"/>
            </w:tcBorders>
            <w:vAlign w:val="bottom"/>
          </w:tcPr>
          <w:p w14:paraId="18FFAD40" w14:textId="77777777" w:rsidR="00B4130A" w:rsidRPr="00925CB8" w:rsidRDefault="00217C74">
            <w:pPr>
              <w:spacing w:after="0" w:line="240" w:lineRule="auto"/>
              <w:jc w:val="right"/>
              <w:rPr>
                <w:rFonts w:ascii="Arial Narrow" w:hAnsi="Arial Narrow" w:cs="Arial"/>
                <w:bCs/>
                <w:lang w:eastAsia="en-PH"/>
              </w:rPr>
            </w:pPr>
            <w:r w:rsidRPr="00925CB8">
              <w:rPr>
                <w:rFonts w:ascii="Arial Narrow" w:hAnsi="Arial Narrow" w:cs="Arial"/>
                <w:bCs/>
                <w:lang w:eastAsia="en-PH"/>
              </w:rPr>
              <w:t>0</w:t>
            </w:r>
          </w:p>
        </w:tc>
        <w:tc>
          <w:tcPr>
            <w:tcW w:w="1688" w:type="dxa"/>
            <w:tcBorders>
              <w:top w:val="nil"/>
              <w:left w:val="nil"/>
              <w:bottom w:val="nil"/>
              <w:right w:val="nil"/>
            </w:tcBorders>
            <w:vAlign w:val="bottom"/>
          </w:tcPr>
          <w:p w14:paraId="23A63350" w14:textId="77777777" w:rsidR="00B4130A" w:rsidRPr="00925CB8" w:rsidRDefault="0084620C">
            <w:pPr>
              <w:spacing w:after="0" w:line="240" w:lineRule="auto"/>
              <w:ind w:right="-110"/>
              <w:jc w:val="right"/>
              <w:rPr>
                <w:rFonts w:ascii="Arial Narrow" w:hAnsi="Arial Narrow" w:cs="Arial"/>
                <w:lang w:eastAsia="en-PH"/>
              </w:rPr>
            </w:pPr>
            <w:r w:rsidRPr="00925CB8">
              <w:rPr>
                <w:rFonts w:ascii="Arial Narrow" w:hAnsi="Arial Narrow" w:cs="Arial"/>
                <w:lang w:eastAsia="en-PH"/>
              </w:rPr>
              <w:t>86</w:t>
            </w:r>
          </w:p>
        </w:tc>
      </w:tr>
      <w:tr w:rsidR="00925CB8" w:rsidRPr="00925CB8" w14:paraId="6C91C589" w14:textId="77777777" w:rsidTr="0087492D">
        <w:trPr>
          <w:jc w:val="right"/>
        </w:trPr>
        <w:tc>
          <w:tcPr>
            <w:tcW w:w="2880" w:type="dxa"/>
            <w:tcBorders>
              <w:top w:val="nil"/>
              <w:left w:val="nil"/>
              <w:bottom w:val="single" w:sz="4" w:space="0" w:color="auto"/>
              <w:right w:val="nil"/>
            </w:tcBorders>
            <w:vAlign w:val="bottom"/>
            <w:hideMark/>
          </w:tcPr>
          <w:p w14:paraId="5EA2F52B" w14:textId="77777777" w:rsidR="00B4130A" w:rsidRPr="00925CB8" w:rsidRDefault="00B4130A">
            <w:pPr>
              <w:spacing w:after="0" w:line="240" w:lineRule="auto"/>
              <w:ind w:left="-110"/>
              <w:rPr>
                <w:rFonts w:ascii="Arial Narrow" w:hAnsi="Arial Narrow" w:cs="Arial"/>
                <w:lang w:eastAsia="en-PH"/>
              </w:rPr>
            </w:pPr>
            <w:r w:rsidRPr="00925CB8">
              <w:rPr>
                <w:rFonts w:ascii="Arial Narrow" w:hAnsi="Arial Narrow" w:cs="Arial"/>
                <w:lang w:eastAsia="en-PH"/>
              </w:rPr>
              <w:t>Job order</w:t>
            </w:r>
          </w:p>
        </w:tc>
        <w:tc>
          <w:tcPr>
            <w:tcW w:w="2130" w:type="dxa"/>
            <w:tcBorders>
              <w:top w:val="nil"/>
              <w:left w:val="nil"/>
              <w:bottom w:val="single" w:sz="4" w:space="0" w:color="auto"/>
              <w:right w:val="nil"/>
            </w:tcBorders>
            <w:vAlign w:val="bottom"/>
          </w:tcPr>
          <w:p w14:paraId="2CA46869"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252</w:t>
            </w:r>
          </w:p>
        </w:tc>
        <w:tc>
          <w:tcPr>
            <w:tcW w:w="1957" w:type="dxa"/>
            <w:tcBorders>
              <w:top w:val="nil"/>
              <w:left w:val="nil"/>
              <w:bottom w:val="single" w:sz="4" w:space="0" w:color="auto"/>
              <w:right w:val="nil"/>
            </w:tcBorders>
            <w:vAlign w:val="bottom"/>
          </w:tcPr>
          <w:p w14:paraId="3A464C4D" w14:textId="77777777" w:rsidR="00B4130A" w:rsidRPr="00925CB8" w:rsidRDefault="0084620C">
            <w:pPr>
              <w:spacing w:after="0" w:line="240" w:lineRule="auto"/>
              <w:jc w:val="right"/>
              <w:rPr>
                <w:rFonts w:ascii="Arial Narrow" w:hAnsi="Arial Narrow" w:cs="Arial"/>
                <w:bCs/>
                <w:lang w:eastAsia="en-PH"/>
              </w:rPr>
            </w:pPr>
            <w:r w:rsidRPr="00925CB8">
              <w:rPr>
                <w:rFonts w:ascii="Arial Narrow" w:hAnsi="Arial Narrow" w:cs="Arial"/>
                <w:bCs/>
                <w:lang w:eastAsia="en-PH"/>
              </w:rPr>
              <w:t>215</w:t>
            </w:r>
          </w:p>
        </w:tc>
        <w:tc>
          <w:tcPr>
            <w:tcW w:w="1688" w:type="dxa"/>
            <w:tcBorders>
              <w:top w:val="nil"/>
              <w:left w:val="nil"/>
              <w:bottom w:val="single" w:sz="4" w:space="0" w:color="auto"/>
              <w:right w:val="nil"/>
            </w:tcBorders>
            <w:vAlign w:val="bottom"/>
          </w:tcPr>
          <w:p w14:paraId="35E9FCBE" w14:textId="77777777" w:rsidR="00B4130A" w:rsidRPr="00925CB8" w:rsidRDefault="00217C74" w:rsidP="0084620C">
            <w:pPr>
              <w:spacing w:after="0" w:line="240" w:lineRule="auto"/>
              <w:ind w:right="-110"/>
              <w:jc w:val="right"/>
              <w:rPr>
                <w:rFonts w:ascii="Arial Narrow" w:hAnsi="Arial Narrow" w:cs="Arial"/>
                <w:lang w:eastAsia="en-PH"/>
              </w:rPr>
            </w:pPr>
            <w:r w:rsidRPr="00925CB8">
              <w:rPr>
                <w:rFonts w:ascii="Arial Narrow" w:hAnsi="Arial Narrow" w:cs="Arial"/>
                <w:lang w:eastAsia="en-PH"/>
              </w:rPr>
              <w:t>4</w:t>
            </w:r>
            <w:r w:rsidR="0084620C" w:rsidRPr="00925CB8">
              <w:rPr>
                <w:rFonts w:ascii="Arial Narrow" w:hAnsi="Arial Narrow" w:cs="Arial"/>
                <w:lang w:eastAsia="en-PH"/>
              </w:rPr>
              <w:t>67</w:t>
            </w:r>
          </w:p>
        </w:tc>
      </w:tr>
      <w:tr w:rsidR="0084620C" w:rsidRPr="00925CB8" w14:paraId="00433D3B" w14:textId="77777777" w:rsidTr="0087492D">
        <w:trPr>
          <w:jc w:val="right"/>
        </w:trPr>
        <w:tc>
          <w:tcPr>
            <w:tcW w:w="2880" w:type="dxa"/>
            <w:tcBorders>
              <w:top w:val="single" w:sz="4" w:space="0" w:color="auto"/>
              <w:left w:val="nil"/>
              <w:bottom w:val="double" w:sz="4" w:space="0" w:color="auto"/>
              <w:right w:val="nil"/>
            </w:tcBorders>
            <w:vAlign w:val="bottom"/>
            <w:hideMark/>
          </w:tcPr>
          <w:p w14:paraId="2F5401AC" w14:textId="77777777" w:rsidR="00B4130A" w:rsidRPr="00925CB8" w:rsidRDefault="00B4130A">
            <w:pPr>
              <w:spacing w:after="0" w:line="240" w:lineRule="auto"/>
              <w:ind w:hanging="107"/>
              <w:rPr>
                <w:rFonts w:ascii="Arial Narrow" w:hAnsi="Arial Narrow" w:cs="Arial"/>
                <w:b/>
                <w:bCs/>
                <w:lang w:eastAsia="en-PH"/>
              </w:rPr>
            </w:pPr>
            <w:r w:rsidRPr="00925CB8">
              <w:rPr>
                <w:rFonts w:ascii="Arial Narrow" w:hAnsi="Arial Narrow" w:cs="Arial"/>
                <w:b/>
                <w:bCs/>
                <w:lang w:eastAsia="en-PH"/>
              </w:rPr>
              <w:t>Total</w:t>
            </w:r>
          </w:p>
        </w:tc>
        <w:tc>
          <w:tcPr>
            <w:tcW w:w="2130" w:type="dxa"/>
            <w:tcBorders>
              <w:top w:val="single" w:sz="4" w:space="0" w:color="auto"/>
              <w:left w:val="nil"/>
              <w:bottom w:val="double" w:sz="4" w:space="0" w:color="auto"/>
              <w:right w:val="nil"/>
            </w:tcBorders>
            <w:vAlign w:val="bottom"/>
          </w:tcPr>
          <w:p w14:paraId="44D0E259" w14:textId="77777777" w:rsidR="00B4130A" w:rsidRPr="00925CB8" w:rsidRDefault="0084620C">
            <w:pPr>
              <w:spacing w:after="0" w:line="240" w:lineRule="auto"/>
              <w:jc w:val="right"/>
              <w:rPr>
                <w:rFonts w:ascii="Arial Narrow" w:hAnsi="Arial Narrow" w:cs="Arial"/>
                <w:b/>
                <w:bCs/>
                <w:lang w:eastAsia="en-PH"/>
              </w:rPr>
            </w:pPr>
            <w:r w:rsidRPr="00925CB8">
              <w:rPr>
                <w:rFonts w:ascii="Arial Narrow" w:hAnsi="Arial Narrow" w:cs="Arial"/>
                <w:b/>
                <w:bCs/>
                <w:lang w:eastAsia="en-PH"/>
              </w:rPr>
              <w:t>1,155</w:t>
            </w:r>
          </w:p>
        </w:tc>
        <w:tc>
          <w:tcPr>
            <w:tcW w:w="1957" w:type="dxa"/>
            <w:tcBorders>
              <w:top w:val="single" w:sz="4" w:space="0" w:color="auto"/>
              <w:left w:val="nil"/>
              <w:bottom w:val="double" w:sz="4" w:space="0" w:color="auto"/>
              <w:right w:val="nil"/>
            </w:tcBorders>
            <w:vAlign w:val="bottom"/>
          </w:tcPr>
          <w:p w14:paraId="1C885962" w14:textId="77777777" w:rsidR="00B4130A" w:rsidRPr="00925CB8" w:rsidRDefault="0084620C">
            <w:pPr>
              <w:spacing w:after="0" w:line="240" w:lineRule="auto"/>
              <w:jc w:val="right"/>
              <w:rPr>
                <w:rFonts w:ascii="Arial Narrow" w:hAnsi="Arial Narrow" w:cs="Arial"/>
                <w:b/>
                <w:bCs/>
                <w:lang w:eastAsia="en-PH"/>
              </w:rPr>
            </w:pPr>
            <w:r w:rsidRPr="00925CB8">
              <w:rPr>
                <w:rFonts w:ascii="Arial Narrow" w:hAnsi="Arial Narrow" w:cs="Arial"/>
                <w:b/>
                <w:bCs/>
                <w:lang w:eastAsia="en-PH"/>
              </w:rPr>
              <w:t>735</w:t>
            </w:r>
          </w:p>
        </w:tc>
        <w:tc>
          <w:tcPr>
            <w:tcW w:w="1688" w:type="dxa"/>
            <w:tcBorders>
              <w:top w:val="single" w:sz="4" w:space="0" w:color="auto"/>
              <w:left w:val="nil"/>
              <w:bottom w:val="double" w:sz="4" w:space="0" w:color="auto"/>
              <w:right w:val="nil"/>
            </w:tcBorders>
            <w:vAlign w:val="bottom"/>
          </w:tcPr>
          <w:p w14:paraId="35D9D167" w14:textId="77777777" w:rsidR="00B4130A" w:rsidRPr="00925CB8" w:rsidRDefault="0084620C">
            <w:pPr>
              <w:spacing w:after="0" w:line="240" w:lineRule="auto"/>
              <w:ind w:right="-110"/>
              <w:jc w:val="right"/>
              <w:rPr>
                <w:rFonts w:ascii="Arial Narrow" w:hAnsi="Arial Narrow" w:cs="Arial"/>
                <w:b/>
                <w:bCs/>
                <w:lang w:eastAsia="en-PH"/>
              </w:rPr>
            </w:pPr>
            <w:r w:rsidRPr="00925CB8">
              <w:rPr>
                <w:rFonts w:ascii="Arial Narrow" w:hAnsi="Arial Narrow" w:cs="Arial"/>
                <w:b/>
                <w:bCs/>
                <w:lang w:eastAsia="en-PH"/>
              </w:rPr>
              <w:t>1,890</w:t>
            </w:r>
          </w:p>
        </w:tc>
      </w:tr>
    </w:tbl>
    <w:p w14:paraId="2E90A79F" w14:textId="77777777" w:rsidR="00B4130A" w:rsidRPr="00925CB8" w:rsidRDefault="00B4130A" w:rsidP="00B4130A">
      <w:pPr>
        <w:spacing w:after="0" w:line="240" w:lineRule="auto"/>
        <w:jc w:val="both"/>
        <w:rPr>
          <w:rFonts w:ascii="Arial" w:hAnsi="Arial" w:cs="Arial"/>
          <w:sz w:val="20"/>
          <w:szCs w:val="20"/>
        </w:rPr>
      </w:pPr>
    </w:p>
    <w:p w14:paraId="7E7B5886" w14:textId="72C85FD0" w:rsidR="00B4130A" w:rsidRPr="00925CB8" w:rsidRDefault="00B4130A" w:rsidP="00B4130A">
      <w:pPr>
        <w:spacing w:after="0" w:line="240" w:lineRule="auto"/>
        <w:jc w:val="both"/>
        <w:rPr>
          <w:rFonts w:ascii="Arial" w:hAnsi="Arial" w:cs="Arial"/>
        </w:rPr>
      </w:pPr>
      <w:r w:rsidRPr="00925CB8">
        <w:rPr>
          <w:rFonts w:ascii="Arial" w:hAnsi="Arial" w:cs="Arial"/>
        </w:rPr>
        <w:t>The main office of the PCSO is located at the Sun Plaza Building and Conservatory Shaw Plaza Building in Mandaluyong Cit</w:t>
      </w:r>
      <w:r w:rsidR="00CB743A" w:rsidRPr="00925CB8">
        <w:rPr>
          <w:rFonts w:ascii="Arial" w:hAnsi="Arial" w:cs="Arial"/>
        </w:rPr>
        <w:t>y. It has five branch operation</w:t>
      </w:r>
      <w:r w:rsidRPr="00925CB8">
        <w:rPr>
          <w:rFonts w:ascii="Arial" w:hAnsi="Arial" w:cs="Arial"/>
        </w:rPr>
        <w:t xml:space="preserve"> departments, namely: National Capital Region, Northern and Central Luzon, Southern Tagalog and Bicol Region, Visayas and M</w:t>
      </w:r>
      <w:r w:rsidR="009113C0" w:rsidRPr="00925CB8">
        <w:rPr>
          <w:rFonts w:ascii="Arial" w:hAnsi="Arial" w:cs="Arial"/>
        </w:rPr>
        <w:t>indanao.</w:t>
      </w:r>
      <w:r w:rsidR="000B60FC" w:rsidRPr="00925CB8">
        <w:rPr>
          <w:rFonts w:ascii="Arial" w:hAnsi="Arial" w:cs="Arial"/>
        </w:rPr>
        <w:t xml:space="preserve"> The </w:t>
      </w:r>
      <w:r w:rsidR="009113C0" w:rsidRPr="00925CB8">
        <w:rPr>
          <w:rFonts w:ascii="Arial" w:hAnsi="Arial" w:cs="Arial"/>
        </w:rPr>
        <w:t xml:space="preserve">PCSO has </w:t>
      </w:r>
      <w:r w:rsidR="00217C74" w:rsidRPr="00925CB8">
        <w:rPr>
          <w:rFonts w:ascii="Arial" w:hAnsi="Arial" w:cs="Arial"/>
        </w:rPr>
        <w:t>72</w:t>
      </w:r>
      <w:r w:rsidRPr="00925CB8">
        <w:rPr>
          <w:rFonts w:ascii="Arial" w:hAnsi="Arial" w:cs="Arial"/>
        </w:rPr>
        <w:t xml:space="preserve"> branches na</w:t>
      </w:r>
      <w:r w:rsidR="00E51909" w:rsidRPr="00925CB8">
        <w:rPr>
          <w:rFonts w:ascii="Arial" w:hAnsi="Arial" w:cs="Arial"/>
        </w:rPr>
        <w:t>tionwide as of December 31, 2023</w:t>
      </w:r>
      <w:r w:rsidRPr="00925CB8">
        <w:rPr>
          <w:rFonts w:ascii="Arial" w:hAnsi="Arial" w:cs="Arial"/>
        </w:rPr>
        <w:t>.</w:t>
      </w:r>
    </w:p>
    <w:p w14:paraId="5D000C22" w14:textId="77777777" w:rsidR="0084620C" w:rsidRPr="00925CB8" w:rsidRDefault="0084620C" w:rsidP="00B4130A">
      <w:pPr>
        <w:spacing w:after="0" w:line="240" w:lineRule="auto"/>
        <w:jc w:val="both"/>
        <w:rPr>
          <w:rFonts w:ascii="Arial" w:hAnsi="Arial" w:cs="Arial"/>
        </w:rPr>
      </w:pPr>
    </w:p>
    <w:p w14:paraId="65DE4D24" w14:textId="77777777" w:rsidR="00B4130A" w:rsidRPr="00925CB8" w:rsidRDefault="00B4130A" w:rsidP="00B4130A">
      <w:pPr>
        <w:spacing w:after="0" w:line="240" w:lineRule="auto"/>
        <w:jc w:val="both"/>
        <w:rPr>
          <w:rFonts w:ascii="Arial" w:hAnsi="Arial" w:cs="Arial"/>
        </w:rPr>
      </w:pPr>
      <w:r w:rsidRPr="00925CB8">
        <w:rPr>
          <w:rFonts w:ascii="Arial" w:hAnsi="Arial" w:cs="Arial"/>
        </w:rPr>
        <w:t>Proceeds from the sweepstakes draws and the lottery games are the main sources of funds of the PCSO. Various game types have been introduced and other game innovations are constantly being conceptualized.</w:t>
      </w:r>
    </w:p>
    <w:p w14:paraId="1C424149" w14:textId="77777777" w:rsidR="00B4130A" w:rsidRPr="00925CB8" w:rsidRDefault="00B4130A" w:rsidP="00B4130A">
      <w:pPr>
        <w:pStyle w:val="ListParagraph"/>
        <w:ind w:left="0"/>
        <w:jc w:val="both"/>
        <w:rPr>
          <w:rFonts w:ascii="Arial" w:hAnsi="Arial" w:cs="Arial"/>
          <w:sz w:val="19"/>
          <w:szCs w:val="19"/>
        </w:rPr>
      </w:pPr>
    </w:p>
    <w:p w14:paraId="34CF53E1" w14:textId="77777777" w:rsidR="00B4130A" w:rsidRPr="00925CB8" w:rsidRDefault="00B4130A" w:rsidP="00B4130A">
      <w:pPr>
        <w:spacing w:after="0" w:line="240" w:lineRule="auto"/>
        <w:jc w:val="both"/>
        <w:rPr>
          <w:rFonts w:ascii="Arial" w:hAnsi="Arial" w:cs="Arial"/>
          <w:b/>
          <w:sz w:val="19"/>
          <w:szCs w:val="19"/>
        </w:rPr>
      </w:pPr>
    </w:p>
    <w:p w14:paraId="10D1A7B9" w14:textId="77777777" w:rsidR="00B4130A" w:rsidRPr="00925CB8" w:rsidRDefault="00B4130A" w:rsidP="00B4130A">
      <w:pPr>
        <w:spacing w:after="0" w:line="240" w:lineRule="auto"/>
        <w:jc w:val="both"/>
        <w:rPr>
          <w:rFonts w:ascii="Arial" w:hAnsi="Arial" w:cs="Arial"/>
          <w:b/>
        </w:rPr>
      </w:pPr>
      <w:r w:rsidRPr="00925CB8">
        <w:rPr>
          <w:rFonts w:ascii="Arial" w:hAnsi="Arial" w:cs="Arial"/>
          <w:b/>
        </w:rPr>
        <w:t>FINANCIAL HIGHLIGHTS (In Philippine Peso)</w:t>
      </w:r>
    </w:p>
    <w:p w14:paraId="561C1489" w14:textId="77777777" w:rsidR="00B4130A" w:rsidRPr="00925CB8" w:rsidRDefault="00B4130A" w:rsidP="00B4130A">
      <w:pPr>
        <w:spacing w:after="0" w:line="240" w:lineRule="auto"/>
        <w:jc w:val="both"/>
        <w:rPr>
          <w:rFonts w:ascii="Arial" w:hAnsi="Arial" w:cs="Arial"/>
          <w:b/>
          <w:sz w:val="19"/>
          <w:szCs w:val="19"/>
        </w:rPr>
      </w:pPr>
    </w:p>
    <w:p w14:paraId="0E4CABAE" w14:textId="77777777" w:rsidR="00B4130A" w:rsidRPr="00925CB8" w:rsidRDefault="00B4130A" w:rsidP="00B4130A">
      <w:pPr>
        <w:pStyle w:val="ListParagraph"/>
        <w:numPr>
          <w:ilvl w:val="0"/>
          <w:numId w:val="1"/>
        </w:numPr>
        <w:ind w:left="567" w:hanging="567"/>
        <w:jc w:val="both"/>
        <w:rPr>
          <w:rFonts w:ascii="Arial" w:hAnsi="Arial" w:cs="Arial"/>
          <w:b/>
          <w:sz w:val="20"/>
          <w:szCs w:val="20"/>
        </w:rPr>
      </w:pPr>
      <w:r w:rsidRPr="00925CB8">
        <w:rPr>
          <w:rFonts w:ascii="Arial" w:hAnsi="Arial" w:cs="Arial"/>
          <w:b/>
          <w:sz w:val="20"/>
          <w:szCs w:val="20"/>
        </w:rPr>
        <w:t>Financial Position</w:t>
      </w:r>
    </w:p>
    <w:p w14:paraId="2E62F8DF" w14:textId="77777777" w:rsidR="00B4130A" w:rsidRPr="00925CB8" w:rsidRDefault="00B4130A" w:rsidP="00B4130A">
      <w:pPr>
        <w:spacing w:after="0" w:line="240" w:lineRule="auto"/>
        <w:jc w:val="both"/>
        <w:rPr>
          <w:rFonts w:ascii="Arial" w:hAnsi="Arial" w:cs="Arial"/>
          <w:b/>
          <w:sz w:val="20"/>
          <w:szCs w:val="20"/>
        </w:rPr>
      </w:pPr>
    </w:p>
    <w:tbl>
      <w:tblPr>
        <w:tblW w:w="8638" w:type="dxa"/>
        <w:jc w:val="right"/>
        <w:tblLook w:val="04A0" w:firstRow="1" w:lastRow="0" w:firstColumn="1" w:lastColumn="0" w:noHBand="0" w:noVBand="1"/>
      </w:tblPr>
      <w:tblGrid>
        <w:gridCol w:w="3960"/>
        <w:gridCol w:w="1392"/>
        <w:gridCol w:w="1520"/>
        <w:gridCol w:w="1766"/>
      </w:tblGrid>
      <w:tr w:rsidR="00925CB8" w:rsidRPr="00925CB8" w14:paraId="374A9E20" w14:textId="77777777" w:rsidTr="009841CB">
        <w:trPr>
          <w:trHeight w:val="332"/>
          <w:jc w:val="right"/>
        </w:trPr>
        <w:tc>
          <w:tcPr>
            <w:tcW w:w="3960" w:type="dxa"/>
            <w:tcBorders>
              <w:top w:val="single" w:sz="4" w:space="0" w:color="auto"/>
              <w:left w:val="nil"/>
              <w:bottom w:val="single" w:sz="4" w:space="0" w:color="auto"/>
              <w:right w:val="nil"/>
            </w:tcBorders>
            <w:vAlign w:val="bottom"/>
            <w:hideMark/>
          </w:tcPr>
          <w:p w14:paraId="25F24181" w14:textId="77777777" w:rsidR="00B4130A" w:rsidRPr="00925CB8" w:rsidRDefault="00B4130A">
            <w:pPr>
              <w:rPr>
                <w:rFonts w:ascii="Arial" w:hAnsi="Arial" w:cs="Arial"/>
                <w:b/>
                <w:sz w:val="20"/>
                <w:szCs w:val="20"/>
              </w:rPr>
            </w:pPr>
          </w:p>
        </w:tc>
        <w:tc>
          <w:tcPr>
            <w:tcW w:w="1392" w:type="dxa"/>
            <w:tcBorders>
              <w:top w:val="single" w:sz="4" w:space="0" w:color="auto"/>
              <w:left w:val="nil"/>
              <w:bottom w:val="single" w:sz="4" w:space="0" w:color="auto"/>
              <w:right w:val="nil"/>
            </w:tcBorders>
            <w:vAlign w:val="bottom"/>
            <w:hideMark/>
          </w:tcPr>
          <w:p w14:paraId="59C7B812" w14:textId="77777777" w:rsidR="00B4130A" w:rsidRPr="00925CB8" w:rsidRDefault="00E51909">
            <w:pPr>
              <w:spacing w:after="0" w:line="240" w:lineRule="auto"/>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2023</w:t>
            </w:r>
          </w:p>
        </w:tc>
        <w:tc>
          <w:tcPr>
            <w:tcW w:w="1520" w:type="dxa"/>
            <w:tcBorders>
              <w:top w:val="single" w:sz="4" w:space="0" w:color="auto"/>
              <w:left w:val="nil"/>
              <w:bottom w:val="single" w:sz="4" w:space="0" w:color="auto"/>
              <w:right w:val="nil"/>
            </w:tcBorders>
            <w:vAlign w:val="bottom"/>
            <w:hideMark/>
          </w:tcPr>
          <w:p w14:paraId="5DED6BF2" w14:textId="77777777" w:rsidR="00B4130A" w:rsidRPr="00925CB8" w:rsidRDefault="00E51909">
            <w:pPr>
              <w:spacing w:after="0" w:line="240" w:lineRule="auto"/>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2022</w:t>
            </w:r>
          </w:p>
          <w:p w14:paraId="785301D8" w14:textId="77777777" w:rsidR="00B4130A" w:rsidRPr="00925CB8" w:rsidRDefault="00B4130A">
            <w:pPr>
              <w:spacing w:after="0" w:line="240" w:lineRule="auto"/>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As Restated</w:t>
            </w:r>
          </w:p>
        </w:tc>
        <w:tc>
          <w:tcPr>
            <w:tcW w:w="1766" w:type="dxa"/>
            <w:tcBorders>
              <w:top w:val="single" w:sz="4" w:space="0" w:color="auto"/>
              <w:left w:val="nil"/>
              <w:bottom w:val="single" w:sz="4" w:space="0" w:color="auto"/>
              <w:right w:val="nil"/>
            </w:tcBorders>
            <w:vAlign w:val="bottom"/>
            <w:hideMark/>
          </w:tcPr>
          <w:p w14:paraId="237AC0FE" w14:textId="77777777" w:rsidR="00B4130A" w:rsidRPr="00925CB8" w:rsidRDefault="00B4130A">
            <w:pPr>
              <w:spacing w:after="0" w:line="240" w:lineRule="auto"/>
              <w:ind w:right="-108"/>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Increase/(Decrease)</w:t>
            </w:r>
          </w:p>
        </w:tc>
      </w:tr>
      <w:tr w:rsidR="00925CB8" w:rsidRPr="00925CB8" w14:paraId="1F34ECD3" w14:textId="77777777" w:rsidTr="009841CB">
        <w:trPr>
          <w:trHeight w:val="246"/>
          <w:jc w:val="right"/>
        </w:trPr>
        <w:tc>
          <w:tcPr>
            <w:tcW w:w="3960" w:type="dxa"/>
            <w:noWrap/>
            <w:vAlign w:val="center"/>
            <w:hideMark/>
          </w:tcPr>
          <w:p w14:paraId="44A100E6" w14:textId="77777777" w:rsidR="00B4130A" w:rsidRPr="00925CB8" w:rsidRDefault="00B4130A">
            <w:pPr>
              <w:spacing w:after="0" w:line="240" w:lineRule="auto"/>
              <w:ind w:hanging="93"/>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Assets</w:t>
            </w:r>
          </w:p>
        </w:tc>
        <w:tc>
          <w:tcPr>
            <w:tcW w:w="1392" w:type="dxa"/>
            <w:vAlign w:val="center"/>
          </w:tcPr>
          <w:p w14:paraId="6FAC5822" w14:textId="77777777" w:rsidR="00B4130A" w:rsidRPr="00925CB8" w:rsidRDefault="00515386">
            <w:pPr>
              <w:spacing w:after="0" w:line="240" w:lineRule="auto"/>
              <w:jc w:val="right"/>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50,589,002,885</w:t>
            </w:r>
          </w:p>
        </w:tc>
        <w:tc>
          <w:tcPr>
            <w:tcW w:w="1520" w:type="dxa"/>
            <w:vAlign w:val="center"/>
          </w:tcPr>
          <w:p w14:paraId="41BE15B9" w14:textId="77777777" w:rsidR="00B4130A" w:rsidRPr="00925CB8" w:rsidRDefault="00515386">
            <w:pPr>
              <w:spacing w:after="0" w:line="240" w:lineRule="auto"/>
              <w:jc w:val="right"/>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41,588,171,963</w:t>
            </w:r>
          </w:p>
        </w:tc>
        <w:tc>
          <w:tcPr>
            <w:tcW w:w="1766" w:type="dxa"/>
            <w:vAlign w:val="center"/>
          </w:tcPr>
          <w:p w14:paraId="34544056" w14:textId="77777777" w:rsidR="00B4130A" w:rsidRPr="00925CB8" w:rsidRDefault="00515386">
            <w:pPr>
              <w:spacing w:after="0" w:line="240" w:lineRule="auto"/>
              <w:ind w:right="-108"/>
              <w:jc w:val="right"/>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9,000,830,922</w:t>
            </w:r>
          </w:p>
        </w:tc>
      </w:tr>
      <w:tr w:rsidR="00925CB8" w:rsidRPr="00925CB8" w14:paraId="25DCF6C0" w14:textId="77777777" w:rsidTr="009841CB">
        <w:trPr>
          <w:trHeight w:val="256"/>
          <w:jc w:val="right"/>
        </w:trPr>
        <w:tc>
          <w:tcPr>
            <w:tcW w:w="3960" w:type="dxa"/>
            <w:tcBorders>
              <w:top w:val="nil"/>
              <w:left w:val="nil"/>
              <w:bottom w:val="single" w:sz="4" w:space="0" w:color="auto"/>
              <w:right w:val="nil"/>
            </w:tcBorders>
            <w:noWrap/>
            <w:vAlign w:val="center"/>
            <w:hideMark/>
          </w:tcPr>
          <w:p w14:paraId="4C6E1C5D" w14:textId="77777777" w:rsidR="00B4130A" w:rsidRPr="00925CB8" w:rsidRDefault="00B4130A">
            <w:pPr>
              <w:spacing w:after="0" w:line="240" w:lineRule="auto"/>
              <w:ind w:hanging="93"/>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Liabilities</w:t>
            </w:r>
          </w:p>
        </w:tc>
        <w:tc>
          <w:tcPr>
            <w:tcW w:w="1392" w:type="dxa"/>
            <w:tcBorders>
              <w:top w:val="nil"/>
              <w:left w:val="nil"/>
              <w:bottom w:val="single" w:sz="4" w:space="0" w:color="auto"/>
              <w:right w:val="nil"/>
            </w:tcBorders>
            <w:vAlign w:val="center"/>
          </w:tcPr>
          <w:p w14:paraId="37430117" w14:textId="77777777" w:rsidR="00B4130A" w:rsidRPr="00925CB8" w:rsidRDefault="00515386">
            <w:pPr>
              <w:spacing w:after="0" w:line="240" w:lineRule="auto"/>
              <w:jc w:val="right"/>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30,571,552,016</w:t>
            </w:r>
          </w:p>
        </w:tc>
        <w:tc>
          <w:tcPr>
            <w:tcW w:w="1520" w:type="dxa"/>
            <w:tcBorders>
              <w:top w:val="nil"/>
              <w:left w:val="nil"/>
              <w:bottom w:val="single" w:sz="4" w:space="0" w:color="auto"/>
              <w:right w:val="nil"/>
            </w:tcBorders>
            <w:vAlign w:val="center"/>
          </w:tcPr>
          <w:p w14:paraId="208D9903" w14:textId="77777777" w:rsidR="00B4130A" w:rsidRPr="00925CB8" w:rsidRDefault="00515386">
            <w:pPr>
              <w:spacing w:after="0" w:line="240" w:lineRule="auto"/>
              <w:jc w:val="right"/>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22,871,563,893</w:t>
            </w:r>
          </w:p>
        </w:tc>
        <w:tc>
          <w:tcPr>
            <w:tcW w:w="1766" w:type="dxa"/>
            <w:tcBorders>
              <w:top w:val="nil"/>
              <w:left w:val="nil"/>
              <w:bottom w:val="single" w:sz="4" w:space="0" w:color="auto"/>
              <w:right w:val="nil"/>
            </w:tcBorders>
            <w:vAlign w:val="center"/>
          </w:tcPr>
          <w:p w14:paraId="7333D0C4" w14:textId="77777777" w:rsidR="00B4130A" w:rsidRPr="00925CB8" w:rsidRDefault="00515386">
            <w:pPr>
              <w:spacing w:after="0" w:line="240" w:lineRule="auto"/>
              <w:ind w:right="-108"/>
              <w:jc w:val="right"/>
              <w:rPr>
                <w:rFonts w:ascii="Arial Narrow" w:eastAsia="Times New Roman" w:hAnsi="Arial Narrow" w:cs="Arial"/>
                <w:sz w:val="20"/>
                <w:szCs w:val="20"/>
                <w:lang w:val="en-US"/>
              </w:rPr>
            </w:pPr>
            <w:r w:rsidRPr="00925CB8">
              <w:rPr>
                <w:rFonts w:ascii="Arial Narrow" w:eastAsia="Times New Roman" w:hAnsi="Arial Narrow" w:cs="Arial"/>
                <w:sz w:val="20"/>
                <w:szCs w:val="20"/>
                <w:lang w:val="en-US"/>
              </w:rPr>
              <w:t>7,699,988,123</w:t>
            </w:r>
          </w:p>
        </w:tc>
      </w:tr>
      <w:tr w:rsidR="0084620C" w:rsidRPr="00925CB8" w14:paraId="092C6C7D" w14:textId="77777777" w:rsidTr="009841CB">
        <w:trPr>
          <w:trHeight w:val="179"/>
          <w:jc w:val="right"/>
        </w:trPr>
        <w:tc>
          <w:tcPr>
            <w:tcW w:w="3960" w:type="dxa"/>
            <w:tcBorders>
              <w:top w:val="single" w:sz="4" w:space="0" w:color="auto"/>
              <w:left w:val="nil"/>
              <w:bottom w:val="double" w:sz="4" w:space="0" w:color="auto"/>
              <w:right w:val="nil"/>
            </w:tcBorders>
            <w:noWrap/>
            <w:vAlign w:val="center"/>
            <w:hideMark/>
          </w:tcPr>
          <w:p w14:paraId="28F2EDDB" w14:textId="77777777" w:rsidR="00B4130A" w:rsidRPr="00925CB8" w:rsidRDefault="00B4130A">
            <w:pPr>
              <w:spacing w:after="0" w:line="240" w:lineRule="auto"/>
              <w:ind w:hanging="93"/>
              <w:rPr>
                <w:rFonts w:ascii="Arial Narrow" w:eastAsia="Times New Roman" w:hAnsi="Arial Narrow" w:cs="Arial"/>
                <w:b/>
                <w:sz w:val="20"/>
                <w:szCs w:val="20"/>
                <w:lang w:val="en-US"/>
              </w:rPr>
            </w:pPr>
            <w:r w:rsidRPr="00925CB8">
              <w:rPr>
                <w:rFonts w:ascii="Arial Narrow" w:eastAsia="Times New Roman" w:hAnsi="Arial Narrow" w:cs="Arial"/>
                <w:b/>
                <w:sz w:val="20"/>
                <w:szCs w:val="20"/>
                <w:lang w:val="en-US"/>
              </w:rPr>
              <w:t>Equity</w:t>
            </w:r>
          </w:p>
        </w:tc>
        <w:tc>
          <w:tcPr>
            <w:tcW w:w="1392" w:type="dxa"/>
            <w:tcBorders>
              <w:top w:val="single" w:sz="4" w:space="0" w:color="auto"/>
              <w:left w:val="nil"/>
              <w:bottom w:val="double" w:sz="4" w:space="0" w:color="auto"/>
              <w:right w:val="nil"/>
            </w:tcBorders>
            <w:vAlign w:val="center"/>
          </w:tcPr>
          <w:p w14:paraId="0A9BB6B0" w14:textId="77777777" w:rsidR="00B4130A" w:rsidRPr="00925CB8" w:rsidRDefault="00515386">
            <w:pPr>
              <w:spacing w:after="0" w:line="240" w:lineRule="auto"/>
              <w:jc w:val="right"/>
              <w:rPr>
                <w:rFonts w:ascii="Arial Narrow" w:eastAsia="Times New Roman" w:hAnsi="Arial Narrow" w:cs="Arial"/>
                <w:b/>
                <w:sz w:val="20"/>
                <w:szCs w:val="20"/>
                <w:lang w:val="en-US"/>
              </w:rPr>
            </w:pPr>
            <w:r w:rsidRPr="00925CB8">
              <w:rPr>
                <w:rFonts w:ascii="Arial Narrow" w:eastAsia="Times New Roman" w:hAnsi="Arial Narrow" w:cs="Arial"/>
                <w:b/>
                <w:sz w:val="20"/>
                <w:szCs w:val="20"/>
                <w:lang w:val="en-US"/>
              </w:rPr>
              <w:t>20,017,450,869</w:t>
            </w:r>
          </w:p>
        </w:tc>
        <w:tc>
          <w:tcPr>
            <w:tcW w:w="1520" w:type="dxa"/>
            <w:tcBorders>
              <w:top w:val="single" w:sz="4" w:space="0" w:color="auto"/>
              <w:left w:val="nil"/>
              <w:bottom w:val="double" w:sz="4" w:space="0" w:color="auto"/>
              <w:right w:val="nil"/>
            </w:tcBorders>
            <w:vAlign w:val="center"/>
          </w:tcPr>
          <w:p w14:paraId="12BC4665" w14:textId="77777777" w:rsidR="00B4130A" w:rsidRPr="00925CB8" w:rsidRDefault="00515386">
            <w:pPr>
              <w:spacing w:after="0" w:line="240" w:lineRule="auto"/>
              <w:jc w:val="right"/>
              <w:rPr>
                <w:rFonts w:ascii="Arial Narrow" w:eastAsia="Times New Roman" w:hAnsi="Arial Narrow" w:cs="Arial"/>
                <w:b/>
                <w:sz w:val="20"/>
                <w:szCs w:val="20"/>
                <w:lang w:val="en-US"/>
              </w:rPr>
            </w:pPr>
            <w:r w:rsidRPr="00925CB8">
              <w:rPr>
                <w:rFonts w:ascii="Arial Narrow" w:eastAsia="Times New Roman" w:hAnsi="Arial Narrow" w:cs="Arial"/>
                <w:b/>
                <w:sz w:val="20"/>
                <w:szCs w:val="20"/>
                <w:lang w:val="en-US"/>
              </w:rPr>
              <w:t>18,716,608,070</w:t>
            </w:r>
          </w:p>
        </w:tc>
        <w:tc>
          <w:tcPr>
            <w:tcW w:w="1766" w:type="dxa"/>
            <w:tcBorders>
              <w:top w:val="single" w:sz="4" w:space="0" w:color="auto"/>
              <w:left w:val="nil"/>
              <w:bottom w:val="double" w:sz="4" w:space="0" w:color="auto"/>
              <w:right w:val="nil"/>
            </w:tcBorders>
            <w:vAlign w:val="center"/>
          </w:tcPr>
          <w:p w14:paraId="5BE55CF8" w14:textId="77777777" w:rsidR="00B4130A" w:rsidRPr="00925CB8" w:rsidRDefault="00515386">
            <w:pPr>
              <w:spacing w:after="0" w:line="240" w:lineRule="auto"/>
              <w:ind w:right="-108"/>
              <w:jc w:val="right"/>
              <w:rPr>
                <w:rFonts w:ascii="Arial Narrow" w:eastAsia="Times New Roman" w:hAnsi="Arial Narrow" w:cs="Arial"/>
                <w:b/>
                <w:sz w:val="20"/>
                <w:szCs w:val="20"/>
                <w:lang w:val="en-US"/>
              </w:rPr>
            </w:pPr>
            <w:r w:rsidRPr="00925CB8">
              <w:rPr>
                <w:rFonts w:ascii="Arial Narrow" w:eastAsia="Times New Roman" w:hAnsi="Arial Narrow" w:cs="Arial"/>
                <w:b/>
                <w:sz w:val="20"/>
                <w:szCs w:val="20"/>
                <w:lang w:val="en-US"/>
              </w:rPr>
              <w:t>1,300,842,799</w:t>
            </w:r>
          </w:p>
        </w:tc>
      </w:tr>
    </w:tbl>
    <w:p w14:paraId="084ABB73" w14:textId="77777777" w:rsidR="00B4130A" w:rsidRPr="00925CB8" w:rsidRDefault="00B4130A" w:rsidP="00B4130A">
      <w:pPr>
        <w:pStyle w:val="ListParagraph"/>
        <w:jc w:val="both"/>
        <w:rPr>
          <w:rFonts w:ascii="Arial Narrow" w:hAnsi="Arial Narrow" w:cs="Arial"/>
          <w:b/>
          <w:sz w:val="20"/>
          <w:szCs w:val="20"/>
          <w:lang w:val="en-US"/>
        </w:rPr>
      </w:pPr>
    </w:p>
    <w:p w14:paraId="3605DB8E" w14:textId="77777777" w:rsidR="00B4130A" w:rsidRPr="00925CB8" w:rsidRDefault="00B4130A" w:rsidP="00B4130A">
      <w:pPr>
        <w:pStyle w:val="ListParagraph"/>
        <w:numPr>
          <w:ilvl w:val="0"/>
          <w:numId w:val="1"/>
        </w:numPr>
        <w:ind w:left="567" w:hanging="567"/>
        <w:jc w:val="both"/>
        <w:rPr>
          <w:rFonts w:ascii="Arial" w:hAnsi="Arial" w:cs="Arial"/>
          <w:b/>
          <w:sz w:val="20"/>
          <w:szCs w:val="20"/>
        </w:rPr>
      </w:pPr>
      <w:r w:rsidRPr="00925CB8">
        <w:rPr>
          <w:rFonts w:ascii="Arial" w:hAnsi="Arial" w:cs="Arial"/>
          <w:b/>
          <w:sz w:val="20"/>
          <w:szCs w:val="20"/>
        </w:rPr>
        <w:t>Comprehensive Income</w:t>
      </w:r>
    </w:p>
    <w:p w14:paraId="19C4B9F2" w14:textId="77777777" w:rsidR="00B4130A" w:rsidRPr="00925CB8" w:rsidRDefault="00B4130A" w:rsidP="00B4130A">
      <w:pPr>
        <w:spacing w:after="0" w:line="240" w:lineRule="auto"/>
        <w:jc w:val="both"/>
        <w:rPr>
          <w:rFonts w:ascii="Arial Narrow" w:hAnsi="Arial Narrow" w:cs="Arial"/>
          <w:b/>
          <w:sz w:val="20"/>
          <w:szCs w:val="20"/>
        </w:rPr>
      </w:pPr>
    </w:p>
    <w:tbl>
      <w:tblPr>
        <w:tblW w:w="8643" w:type="dxa"/>
        <w:jc w:val="right"/>
        <w:tblLook w:val="04A0" w:firstRow="1" w:lastRow="0" w:firstColumn="1" w:lastColumn="0" w:noHBand="0" w:noVBand="1"/>
      </w:tblPr>
      <w:tblGrid>
        <w:gridCol w:w="3870"/>
        <w:gridCol w:w="1515"/>
        <w:gridCol w:w="1515"/>
        <w:gridCol w:w="1743"/>
      </w:tblGrid>
      <w:tr w:rsidR="00925CB8" w:rsidRPr="00925CB8" w14:paraId="134D2682" w14:textId="77777777" w:rsidTr="009841CB">
        <w:trPr>
          <w:trHeight w:val="481"/>
          <w:jc w:val="right"/>
        </w:trPr>
        <w:tc>
          <w:tcPr>
            <w:tcW w:w="3870" w:type="dxa"/>
            <w:tcBorders>
              <w:top w:val="single" w:sz="4" w:space="0" w:color="auto"/>
              <w:left w:val="nil"/>
              <w:bottom w:val="single" w:sz="4" w:space="0" w:color="auto"/>
              <w:right w:val="nil"/>
            </w:tcBorders>
            <w:vAlign w:val="bottom"/>
            <w:hideMark/>
          </w:tcPr>
          <w:p w14:paraId="2B1E26D9" w14:textId="77777777" w:rsidR="00B4130A" w:rsidRPr="00925CB8" w:rsidRDefault="00B4130A">
            <w:pPr>
              <w:rPr>
                <w:rFonts w:ascii="Arial Narrow" w:hAnsi="Arial Narrow" w:cs="Arial"/>
                <w:b/>
                <w:sz w:val="20"/>
                <w:szCs w:val="20"/>
              </w:rPr>
            </w:pPr>
          </w:p>
        </w:tc>
        <w:tc>
          <w:tcPr>
            <w:tcW w:w="1515" w:type="dxa"/>
            <w:tcBorders>
              <w:top w:val="single" w:sz="4" w:space="0" w:color="auto"/>
              <w:left w:val="nil"/>
              <w:bottom w:val="single" w:sz="4" w:space="0" w:color="auto"/>
              <w:right w:val="nil"/>
            </w:tcBorders>
            <w:vAlign w:val="bottom"/>
            <w:hideMark/>
          </w:tcPr>
          <w:p w14:paraId="3EC51392" w14:textId="77777777" w:rsidR="00B4130A" w:rsidRPr="00925CB8" w:rsidRDefault="00E4107C">
            <w:pPr>
              <w:spacing w:after="0" w:line="240" w:lineRule="auto"/>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2023</w:t>
            </w:r>
          </w:p>
        </w:tc>
        <w:tc>
          <w:tcPr>
            <w:tcW w:w="1515" w:type="dxa"/>
            <w:tcBorders>
              <w:top w:val="single" w:sz="4" w:space="0" w:color="auto"/>
              <w:left w:val="nil"/>
              <w:bottom w:val="single" w:sz="4" w:space="0" w:color="auto"/>
              <w:right w:val="nil"/>
            </w:tcBorders>
            <w:vAlign w:val="bottom"/>
            <w:hideMark/>
          </w:tcPr>
          <w:p w14:paraId="298C9F7B" w14:textId="77777777" w:rsidR="00B4130A" w:rsidRPr="00925CB8" w:rsidRDefault="00E4107C">
            <w:pPr>
              <w:spacing w:after="0" w:line="240" w:lineRule="auto"/>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2022</w:t>
            </w:r>
          </w:p>
          <w:p w14:paraId="12CF0A8D" w14:textId="77777777" w:rsidR="00B4130A" w:rsidRPr="00925CB8" w:rsidRDefault="00B4130A">
            <w:pPr>
              <w:spacing w:after="0" w:line="240" w:lineRule="auto"/>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As Restated</w:t>
            </w:r>
          </w:p>
        </w:tc>
        <w:tc>
          <w:tcPr>
            <w:tcW w:w="1743" w:type="dxa"/>
            <w:tcBorders>
              <w:top w:val="single" w:sz="4" w:space="0" w:color="auto"/>
              <w:left w:val="nil"/>
              <w:bottom w:val="single" w:sz="4" w:space="0" w:color="auto"/>
              <w:right w:val="nil"/>
            </w:tcBorders>
            <w:vAlign w:val="bottom"/>
            <w:hideMark/>
          </w:tcPr>
          <w:p w14:paraId="2BD48709" w14:textId="77777777" w:rsidR="00B4130A" w:rsidRPr="00925CB8" w:rsidRDefault="00B4130A">
            <w:pPr>
              <w:spacing w:after="0" w:line="240" w:lineRule="auto"/>
              <w:ind w:right="-104" w:hanging="23"/>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Increase/(Decrease)</w:t>
            </w:r>
          </w:p>
        </w:tc>
      </w:tr>
      <w:tr w:rsidR="00925CB8" w:rsidRPr="00925CB8" w14:paraId="32AEB166" w14:textId="77777777" w:rsidTr="009841CB">
        <w:trPr>
          <w:trHeight w:val="188"/>
          <w:jc w:val="right"/>
        </w:trPr>
        <w:tc>
          <w:tcPr>
            <w:tcW w:w="3870" w:type="dxa"/>
            <w:noWrap/>
            <w:vAlign w:val="bottom"/>
            <w:hideMark/>
          </w:tcPr>
          <w:p w14:paraId="11CB1296" w14:textId="77777777" w:rsidR="003F4BE6" w:rsidRPr="00925CB8" w:rsidRDefault="003F4BE6" w:rsidP="003F4BE6">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Total income</w:t>
            </w:r>
          </w:p>
        </w:tc>
        <w:tc>
          <w:tcPr>
            <w:tcW w:w="1515" w:type="dxa"/>
            <w:vAlign w:val="bottom"/>
          </w:tcPr>
          <w:p w14:paraId="3694B14D" w14:textId="77777777" w:rsidR="003F4BE6" w:rsidRPr="00925CB8" w:rsidRDefault="00515386" w:rsidP="003F4BE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62,044,196,646</w:t>
            </w:r>
          </w:p>
        </w:tc>
        <w:tc>
          <w:tcPr>
            <w:tcW w:w="1515" w:type="dxa"/>
            <w:vAlign w:val="bottom"/>
          </w:tcPr>
          <w:p w14:paraId="0162A248" w14:textId="0C10B403" w:rsidR="003F4BE6" w:rsidRPr="00925CB8" w:rsidRDefault="00515386" w:rsidP="003F4BE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57,797,107,</w:t>
            </w:r>
            <w:r w:rsidR="00CD3CBA" w:rsidRPr="00925CB8">
              <w:rPr>
                <w:rFonts w:ascii="Arial Narrow" w:hAnsi="Arial Narrow" w:cs="Arial"/>
                <w:sz w:val="20"/>
                <w:szCs w:val="20"/>
                <w:lang w:val="en-US"/>
              </w:rPr>
              <w:t>5</w:t>
            </w:r>
            <w:r w:rsidR="00CD3CBA">
              <w:rPr>
                <w:rFonts w:ascii="Arial Narrow" w:hAnsi="Arial Narrow" w:cs="Arial"/>
                <w:sz w:val="20"/>
                <w:szCs w:val="20"/>
                <w:lang w:val="en-US"/>
              </w:rPr>
              <w:t>09</w:t>
            </w:r>
          </w:p>
        </w:tc>
        <w:tc>
          <w:tcPr>
            <w:tcW w:w="1743" w:type="dxa"/>
            <w:vAlign w:val="bottom"/>
          </w:tcPr>
          <w:p w14:paraId="3FF84653" w14:textId="77D69DE5" w:rsidR="003F4BE6" w:rsidRPr="00925CB8" w:rsidRDefault="00515386" w:rsidP="003F4BE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4,247,089,</w:t>
            </w:r>
            <w:r w:rsidR="00D62720" w:rsidRPr="00925CB8">
              <w:rPr>
                <w:rFonts w:ascii="Arial Narrow" w:hAnsi="Arial Narrow" w:cs="Arial"/>
                <w:sz w:val="20"/>
                <w:szCs w:val="20"/>
                <w:lang w:val="en-US"/>
              </w:rPr>
              <w:t>13</w:t>
            </w:r>
            <w:r w:rsidR="00D62720">
              <w:rPr>
                <w:rFonts w:ascii="Arial Narrow" w:hAnsi="Arial Narrow" w:cs="Arial"/>
                <w:sz w:val="20"/>
                <w:szCs w:val="20"/>
                <w:lang w:val="en-US"/>
              </w:rPr>
              <w:t>7</w:t>
            </w:r>
          </w:p>
        </w:tc>
      </w:tr>
      <w:tr w:rsidR="00925CB8" w:rsidRPr="00925CB8" w14:paraId="14683E7F" w14:textId="77777777" w:rsidTr="002E1E79">
        <w:trPr>
          <w:trHeight w:val="234"/>
          <w:jc w:val="right"/>
        </w:trPr>
        <w:tc>
          <w:tcPr>
            <w:tcW w:w="3870" w:type="dxa"/>
            <w:tcBorders>
              <w:top w:val="nil"/>
              <w:left w:val="nil"/>
              <w:bottom w:val="single" w:sz="4" w:space="0" w:color="auto"/>
              <w:right w:val="nil"/>
            </w:tcBorders>
            <w:noWrap/>
            <w:vAlign w:val="bottom"/>
            <w:hideMark/>
          </w:tcPr>
          <w:p w14:paraId="72D873CA" w14:textId="77777777" w:rsidR="00B4130A" w:rsidRPr="00925CB8"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Total operating expenses</w:t>
            </w:r>
          </w:p>
        </w:tc>
        <w:tc>
          <w:tcPr>
            <w:tcW w:w="1515" w:type="dxa"/>
            <w:tcBorders>
              <w:top w:val="nil"/>
              <w:left w:val="nil"/>
              <w:bottom w:val="single" w:sz="4" w:space="0" w:color="auto"/>
              <w:right w:val="nil"/>
            </w:tcBorders>
            <w:vAlign w:val="bottom"/>
          </w:tcPr>
          <w:p w14:paraId="74DEEF23"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51,594,250,520</w:t>
            </w:r>
          </w:p>
        </w:tc>
        <w:tc>
          <w:tcPr>
            <w:tcW w:w="1515" w:type="dxa"/>
            <w:tcBorders>
              <w:top w:val="nil"/>
              <w:left w:val="nil"/>
              <w:bottom w:val="single" w:sz="4" w:space="0" w:color="auto"/>
              <w:right w:val="nil"/>
            </w:tcBorders>
            <w:vAlign w:val="bottom"/>
          </w:tcPr>
          <w:p w14:paraId="2788FB24"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45,984,724,289</w:t>
            </w:r>
          </w:p>
        </w:tc>
        <w:tc>
          <w:tcPr>
            <w:tcW w:w="1743" w:type="dxa"/>
            <w:tcBorders>
              <w:top w:val="nil"/>
              <w:left w:val="nil"/>
              <w:bottom w:val="single" w:sz="4" w:space="0" w:color="auto"/>
              <w:right w:val="nil"/>
            </w:tcBorders>
            <w:vAlign w:val="bottom"/>
          </w:tcPr>
          <w:p w14:paraId="4D175D6F" w14:textId="77777777" w:rsidR="00B4130A"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5,609,526,231</w:t>
            </w:r>
          </w:p>
        </w:tc>
      </w:tr>
      <w:tr w:rsidR="00925CB8" w:rsidRPr="00925CB8" w14:paraId="55B07215" w14:textId="77777777" w:rsidTr="002E1E79">
        <w:trPr>
          <w:trHeight w:val="161"/>
          <w:jc w:val="right"/>
        </w:trPr>
        <w:tc>
          <w:tcPr>
            <w:tcW w:w="3870" w:type="dxa"/>
            <w:tcBorders>
              <w:top w:val="single" w:sz="4" w:space="0" w:color="auto"/>
              <w:left w:val="nil"/>
              <w:bottom w:val="single" w:sz="4" w:space="0" w:color="auto"/>
              <w:right w:val="nil"/>
            </w:tcBorders>
            <w:noWrap/>
            <w:vAlign w:val="bottom"/>
            <w:hideMark/>
          </w:tcPr>
          <w:p w14:paraId="7E325970" w14:textId="77777777" w:rsidR="00B4130A" w:rsidRPr="00925CB8"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Profit/ (loss) before tax</w:t>
            </w:r>
          </w:p>
        </w:tc>
        <w:tc>
          <w:tcPr>
            <w:tcW w:w="1515" w:type="dxa"/>
            <w:tcBorders>
              <w:top w:val="single" w:sz="4" w:space="0" w:color="auto"/>
              <w:left w:val="nil"/>
              <w:bottom w:val="single" w:sz="4" w:space="0" w:color="auto"/>
              <w:right w:val="nil"/>
            </w:tcBorders>
            <w:vAlign w:val="bottom"/>
          </w:tcPr>
          <w:p w14:paraId="6C9E0C94" w14:textId="77777777" w:rsidR="00B4130A"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10,449,946,126</w:t>
            </w:r>
          </w:p>
        </w:tc>
        <w:tc>
          <w:tcPr>
            <w:tcW w:w="1515" w:type="dxa"/>
            <w:tcBorders>
              <w:top w:val="single" w:sz="4" w:space="0" w:color="auto"/>
              <w:left w:val="nil"/>
              <w:bottom w:val="single" w:sz="4" w:space="0" w:color="auto"/>
              <w:right w:val="nil"/>
            </w:tcBorders>
            <w:vAlign w:val="bottom"/>
          </w:tcPr>
          <w:p w14:paraId="06558361" w14:textId="7F744CFA" w:rsidR="00B4130A"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11,812,383,</w:t>
            </w:r>
            <w:r w:rsidR="00D62720" w:rsidRPr="00925CB8">
              <w:rPr>
                <w:rFonts w:ascii="Arial Narrow" w:hAnsi="Arial Narrow" w:cs="Arial"/>
                <w:bCs/>
                <w:sz w:val="20"/>
                <w:szCs w:val="20"/>
                <w:lang w:val="en-US"/>
              </w:rPr>
              <w:t>22</w:t>
            </w:r>
            <w:r w:rsidR="00D62720">
              <w:rPr>
                <w:rFonts w:ascii="Arial Narrow" w:hAnsi="Arial Narrow" w:cs="Arial"/>
                <w:bCs/>
                <w:sz w:val="20"/>
                <w:szCs w:val="20"/>
                <w:lang w:val="en-US"/>
              </w:rPr>
              <w:t>0</w:t>
            </w:r>
          </w:p>
        </w:tc>
        <w:tc>
          <w:tcPr>
            <w:tcW w:w="1743" w:type="dxa"/>
            <w:tcBorders>
              <w:top w:val="single" w:sz="4" w:space="0" w:color="auto"/>
              <w:left w:val="nil"/>
              <w:bottom w:val="single" w:sz="4" w:space="0" w:color="auto"/>
              <w:right w:val="nil"/>
            </w:tcBorders>
            <w:vAlign w:val="bottom"/>
          </w:tcPr>
          <w:p w14:paraId="199DCC39" w14:textId="2BBA1D84" w:rsidR="00B4130A"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(1,362,437,</w:t>
            </w:r>
            <w:r w:rsidR="00D62720" w:rsidRPr="00925CB8">
              <w:rPr>
                <w:rFonts w:ascii="Arial Narrow" w:hAnsi="Arial Narrow" w:cs="Arial"/>
                <w:sz w:val="20"/>
                <w:szCs w:val="20"/>
                <w:lang w:val="en-US"/>
              </w:rPr>
              <w:t>09</w:t>
            </w:r>
            <w:r w:rsidR="00D62720">
              <w:rPr>
                <w:rFonts w:ascii="Arial Narrow" w:hAnsi="Arial Narrow" w:cs="Arial"/>
                <w:sz w:val="20"/>
                <w:szCs w:val="20"/>
                <w:lang w:val="en-US"/>
              </w:rPr>
              <w:t>4</w:t>
            </w:r>
            <w:r w:rsidRPr="00925CB8">
              <w:rPr>
                <w:rFonts w:ascii="Arial Narrow" w:hAnsi="Arial Narrow" w:cs="Arial"/>
                <w:sz w:val="20"/>
                <w:szCs w:val="20"/>
                <w:lang w:val="en-US"/>
              </w:rPr>
              <w:t>)</w:t>
            </w:r>
          </w:p>
        </w:tc>
      </w:tr>
      <w:tr w:rsidR="00925CB8" w:rsidRPr="00925CB8" w14:paraId="263C359E" w14:textId="77777777" w:rsidTr="002E1E79">
        <w:trPr>
          <w:trHeight w:val="198"/>
          <w:jc w:val="right"/>
        </w:trPr>
        <w:tc>
          <w:tcPr>
            <w:tcW w:w="3870" w:type="dxa"/>
            <w:tcBorders>
              <w:top w:val="single" w:sz="4" w:space="0" w:color="auto"/>
            </w:tcBorders>
            <w:noWrap/>
            <w:vAlign w:val="bottom"/>
            <w:hideMark/>
          </w:tcPr>
          <w:p w14:paraId="6D15857D" w14:textId="77777777" w:rsidR="00B4130A" w:rsidRPr="00925CB8" w:rsidRDefault="002E1E79">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 xml:space="preserve">   Income tax expense</w:t>
            </w:r>
          </w:p>
        </w:tc>
        <w:tc>
          <w:tcPr>
            <w:tcW w:w="1515" w:type="dxa"/>
            <w:tcBorders>
              <w:top w:val="single" w:sz="4" w:space="0" w:color="auto"/>
            </w:tcBorders>
            <w:vAlign w:val="bottom"/>
          </w:tcPr>
          <w:p w14:paraId="6DAF01E5"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1,597,654,845</w:t>
            </w:r>
          </w:p>
        </w:tc>
        <w:tc>
          <w:tcPr>
            <w:tcW w:w="1515" w:type="dxa"/>
            <w:tcBorders>
              <w:top w:val="single" w:sz="4" w:space="0" w:color="auto"/>
            </w:tcBorders>
            <w:vAlign w:val="bottom"/>
          </w:tcPr>
          <w:p w14:paraId="6DE8A733"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1,840,816,383</w:t>
            </w:r>
          </w:p>
        </w:tc>
        <w:tc>
          <w:tcPr>
            <w:tcW w:w="1743" w:type="dxa"/>
            <w:tcBorders>
              <w:top w:val="single" w:sz="4" w:space="0" w:color="auto"/>
            </w:tcBorders>
            <w:vAlign w:val="bottom"/>
          </w:tcPr>
          <w:p w14:paraId="116336DB" w14:textId="77777777" w:rsidR="00B4130A"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(243,161,538)</w:t>
            </w:r>
          </w:p>
        </w:tc>
      </w:tr>
      <w:tr w:rsidR="00925CB8" w:rsidRPr="00925CB8" w14:paraId="17383B07" w14:textId="77777777" w:rsidTr="009841CB">
        <w:trPr>
          <w:trHeight w:val="153"/>
          <w:jc w:val="right"/>
        </w:trPr>
        <w:tc>
          <w:tcPr>
            <w:tcW w:w="3870" w:type="dxa"/>
            <w:tcBorders>
              <w:top w:val="nil"/>
              <w:left w:val="nil"/>
              <w:bottom w:val="single" w:sz="4" w:space="0" w:color="auto"/>
              <w:right w:val="nil"/>
            </w:tcBorders>
            <w:noWrap/>
            <w:vAlign w:val="bottom"/>
            <w:hideMark/>
          </w:tcPr>
          <w:p w14:paraId="6EE1C1DE" w14:textId="77777777" w:rsidR="00B4130A" w:rsidRPr="00925CB8" w:rsidRDefault="002E1E79">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 xml:space="preserve">   </w:t>
            </w:r>
            <w:r w:rsidR="00B4130A" w:rsidRPr="00925CB8">
              <w:rPr>
                <w:rFonts w:ascii="Arial Narrow" w:eastAsia="Times New Roman" w:hAnsi="Arial Narrow" w:cs="Arial"/>
                <w:bCs/>
                <w:sz w:val="20"/>
                <w:szCs w:val="20"/>
                <w:lang w:val="en-US" w:eastAsia="ar-SA"/>
              </w:rPr>
              <w:t>Income tax expense/</w:t>
            </w:r>
            <w:r w:rsidRPr="00925CB8">
              <w:rPr>
                <w:rFonts w:ascii="Arial Narrow" w:eastAsia="Times New Roman" w:hAnsi="Arial Narrow" w:cs="Arial"/>
                <w:bCs/>
                <w:sz w:val="20"/>
                <w:szCs w:val="20"/>
                <w:lang w:val="en-US" w:eastAsia="ar-SA"/>
              </w:rPr>
              <w:t>(</w:t>
            </w:r>
            <w:r w:rsidR="00B4130A" w:rsidRPr="00925CB8">
              <w:rPr>
                <w:rFonts w:ascii="Arial Narrow" w:eastAsia="Times New Roman" w:hAnsi="Arial Narrow" w:cs="Arial"/>
                <w:bCs/>
                <w:sz w:val="20"/>
                <w:szCs w:val="20"/>
                <w:lang w:val="en-US" w:eastAsia="ar-SA"/>
              </w:rPr>
              <w:t>benefit</w:t>
            </w:r>
            <w:r w:rsidRPr="00925CB8">
              <w:rPr>
                <w:rFonts w:ascii="Arial Narrow" w:eastAsia="Times New Roman" w:hAnsi="Arial Narrow" w:cs="Arial"/>
                <w:bCs/>
                <w:sz w:val="20"/>
                <w:szCs w:val="20"/>
                <w:lang w:val="en-US" w:eastAsia="ar-SA"/>
              </w:rPr>
              <w:t>)</w:t>
            </w:r>
            <w:r w:rsidR="00B4130A" w:rsidRPr="00925CB8">
              <w:rPr>
                <w:rFonts w:ascii="Arial Narrow" w:eastAsia="Times New Roman" w:hAnsi="Arial Narrow" w:cs="Arial"/>
                <w:bCs/>
                <w:sz w:val="20"/>
                <w:szCs w:val="20"/>
                <w:lang w:val="en-US" w:eastAsia="ar-SA"/>
              </w:rPr>
              <w:t xml:space="preserve"> – deferred</w:t>
            </w:r>
          </w:p>
        </w:tc>
        <w:tc>
          <w:tcPr>
            <w:tcW w:w="1515" w:type="dxa"/>
            <w:tcBorders>
              <w:top w:val="nil"/>
              <w:left w:val="nil"/>
              <w:bottom w:val="single" w:sz="4" w:space="0" w:color="auto"/>
              <w:right w:val="nil"/>
            </w:tcBorders>
            <w:vAlign w:val="bottom"/>
          </w:tcPr>
          <w:p w14:paraId="65D748D3"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(195,478,716)</w:t>
            </w:r>
          </w:p>
        </w:tc>
        <w:tc>
          <w:tcPr>
            <w:tcW w:w="1515" w:type="dxa"/>
            <w:tcBorders>
              <w:top w:val="nil"/>
              <w:left w:val="nil"/>
              <w:bottom w:val="single" w:sz="4" w:space="0" w:color="auto"/>
              <w:right w:val="nil"/>
            </w:tcBorders>
            <w:vAlign w:val="bottom"/>
          </w:tcPr>
          <w:p w14:paraId="0F11A524"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(498,279,991)</w:t>
            </w:r>
          </w:p>
        </w:tc>
        <w:tc>
          <w:tcPr>
            <w:tcW w:w="1743" w:type="dxa"/>
            <w:tcBorders>
              <w:top w:val="nil"/>
              <w:left w:val="nil"/>
              <w:bottom w:val="single" w:sz="4" w:space="0" w:color="auto"/>
              <w:right w:val="nil"/>
            </w:tcBorders>
            <w:vAlign w:val="bottom"/>
          </w:tcPr>
          <w:p w14:paraId="32F90B6E" w14:textId="77777777" w:rsidR="00B4130A"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302,801,275</w:t>
            </w:r>
          </w:p>
        </w:tc>
      </w:tr>
      <w:tr w:rsidR="00925CB8" w:rsidRPr="00925CB8" w14:paraId="21B51AFA" w14:textId="77777777" w:rsidTr="009841CB">
        <w:trPr>
          <w:trHeight w:val="179"/>
          <w:jc w:val="right"/>
        </w:trPr>
        <w:tc>
          <w:tcPr>
            <w:tcW w:w="3870" w:type="dxa"/>
            <w:tcBorders>
              <w:top w:val="single" w:sz="4" w:space="0" w:color="auto"/>
              <w:left w:val="nil"/>
              <w:bottom w:val="nil"/>
              <w:right w:val="nil"/>
            </w:tcBorders>
            <w:noWrap/>
            <w:vAlign w:val="bottom"/>
          </w:tcPr>
          <w:p w14:paraId="633D3AA1" w14:textId="77777777" w:rsidR="002E1E79" w:rsidRPr="00925CB8" w:rsidRDefault="002E1E79">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Total Income tax expense net of deferred tax</w:t>
            </w:r>
          </w:p>
        </w:tc>
        <w:tc>
          <w:tcPr>
            <w:tcW w:w="1515" w:type="dxa"/>
            <w:tcBorders>
              <w:top w:val="single" w:sz="4" w:space="0" w:color="auto"/>
              <w:left w:val="nil"/>
              <w:bottom w:val="nil"/>
              <w:right w:val="nil"/>
            </w:tcBorders>
            <w:vAlign w:val="bottom"/>
          </w:tcPr>
          <w:p w14:paraId="3EFF3071" w14:textId="77777777" w:rsidR="002E1E79"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1,402,176,129</w:t>
            </w:r>
          </w:p>
        </w:tc>
        <w:tc>
          <w:tcPr>
            <w:tcW w:w="1515" w:type="dxa"/>
            <w:tcBorders>
              <w:top w:val="single" w:sz="4" w:space="0" w:color="auto"/>
              <w:left w:val="nil"/>
              <w:bottom w:val="nil"/>
              <w:right w:val="nil"/>
            </w:tcBorders>
            <w:vAlign w:val="bottom"/>
          </w:tcPr>
          <w:p w14:paraId="5EF245DA" w14:textId="77777777" w:rsidR="002E1E79"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1,342,536,3</w:t>
            </w:r>
            <w:r w:rsidR="004F0FB4">
              <w:rPr>
                <w:rFonts w:ascii="Arial Narrow" w:hAnsi="Arial Narrow" w:cs="Arial"/>
                <w:bCs/>
                <w:sz w:val="20"/>
                <w:szCs w:val="20"/>
                <w:lang w:val="en-US"/>
              </w:rPr>
              <w:t>9</w:t>
            </w:r>
            <w:r w:rsidRPr="00925CB8">
              <w:rPr>
                <w:rFonts w:ascii="Arial Narrow" w:hAnsi="Arial Narrow" w:cs="Arial"/>
                <w:bCs/>
                <w:sz w:val="20"/>
                <w:szCs w:val="20"/>
                <w:lang w:val="en-US"/>
              </w:rPr>
              <w:t>2</w:t>
            </w:r>
          </w:p>
        </w:tc>
        <w:tc>
          <w:tcPr>
            <w:tcW w:w="1743" w:type="dxa"/>
            <w:tcBorders>
              <w:top w:val="single" w:sz="4" w:space="0" w:color="auto"/>
              <w:left w:val="nil"/>
              <w:bottom w:val="nil"/>
              <w:right w:val="nil"/>
            </w:tcBorders>
            <w:vAlign w:val="bottom"/>
          </w:tcPr>
          <w:p w14:paraId="0F6E9E21" w14:textId="77777777" w:rsidR="002E1E79"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59,639,737</w:t>
            </w:r>
          </w:p>
        </w:tc>
      </w:tr>
      <w:tr w:rsidR="00925CB8" w:rsidRPr="00925CB8" w14:paraId="12F526D0" w14:textId="77777777" w:rsidTr="009841CB">
        <w:trPr>
          <w:trHeight w:val="179"/>
          <w:jc w:val="right"/>
        </w:trPr>
        <w:tc>
          <w:tcPr>
            <w:tcW w:w="3870" w:type="dxa"/>
            <w:tcBorders>
              <w:top w:val="single" w:sz="4" w:space="0" w:color="auto"/>
              <w:left w:val="nil"/>
              <w:bottom w:val="nil"/>
              <w:right w:val="nil"/>
            </w:tcBorders>
            <w:noWrap/>
            <w:vAlign w:val="bottom"/>
            <w:hideMark/>
          </w:tcPr>
          <w:p w14:paraId="3BD8AB22" w14:textId="77777777" w:rsidR="00B4130A" w:rsidRPr="00925CB8"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Profit/(loss) after tax</w:t>
            </w:r>
          </w:p>
        </w:tc>
        <w:tc>
          <w:tcPr>
            <w:tcW w:w="1515" w:type="dxa"/>
            <w:tcBorders>
              <w:top w:val="single" w:sz="4" w:space="0" w:color="auto"/>
              <w:left w:val="nil"/>
              <w:bottom w:val="nil"/>
              <w:right w:val="nil"/>
            </w:tcBorders>
            <w:vAlign w:val="bottom"/>
          </w:tcPr>
          <w:p w14:paraId="022A07AE" w14:textId="77777777" w:rsidR="00B4130A"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9,047,769,997</w:t>
            </w:r>
          </w:p>
        </w:tc>
        <w:tc>
          <w:tcPr>
            <w:tcW w:w="1515" w:type="dxa"/>
            <w:tcBorders>
              <w:top w:val="single" w:sz="4" w:space="0" w:color="auto"/>
              <w:left w:val="nil"/>
              <w:bottom w:val="nil"/>
              <w:right w:val="nil"/>
            </w:tcBorders>
            <w:vAlign w:val="bottom"/>
          </w:tcPr>
          <w:p w14:paraId="217546E6" w14:textId="1E0B0CD3" w:rsidR="00B4130A"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10,469,846,</w:t>
            </w:r>
            <w:r w:rsidR="00D62720" w:rsidRPr="00925CB8">
              <w:rPr>
                <w:rFonts w:ascii="Arial Narrow" w:hAnsi="Arial Narrow" w:cs="Arial"/>
                <w:bCs/>
                <w:sz w:val="20"/>
                <w:szCs w:val="20"/>
                <w:lang w:val="en-US"/>
              </w:rPr>
              <w:t>82</w:t>
            </w:r>
            <w:r w:rsidR="00D62720">
              <w:rPr>
                <w:rFonts w:ascii="Arial Narrow" w:hAnsi="Arial Narrow" w:cs="Arial"/>
                <w:bCs/>
                <w:sz w:val="20"/>
                <w:szCs w:val="20"/>
                <w:lang w:val="en-US"/>
              </w:rPr>
              <w:t>8</w:t>
            </w:r>
          </w:p>
        </w:tc>
        <w:tc>
          <w:tcPr>
            <w:tcW w:w="1743" w:type="dxa"/>
            <w:tcBorders>
              <w:top w:val="single" w:sz="4" w:space="0" w:color="auto"/>
              <w:left w:val="nil"/>
              <w:bottom w:val="nil"/>
              <w:right w:val="nil"/>
            </w:tcBorders>
            <w:vAlign w:val="bottom"/>
          </w:tcPr>
          <w:p w14:paraId="2B2DB13C" w14:textId="28F7B326" w:rsidR="00B4130A"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(1,422,076,</w:t>
            </w:r>
            <w:r w:rsidR="00D62720" w:rsidRPr="00925CB8">
              <w:rPr>
                <w:rFonts w:ascii="Arial Narrow" w:hAnsi="Arial Narrow" w:cs="Arial"/>
                <w:sz w:val="20"/>
                <w:szCs w:val="20"/>
                <w:lang w:val="en-US"/>
              </w:rPr>
              <w:t>83</w:t>
            </w:r>
            <w:r w:rsidR="00D62720">
              <w:rPr>
                <w:rFonts w:ascii="Arial Narrow" w:hAnsi="Arial Narrow" w:cs="Arial"/>
                <w:sz w:val="20"/>
                <w:szCs w:val="20"/>
                <w:lang w:val="en-US"/>
              </w:rPr>
              <w:t>1</w:t>
            </w:r>
            <w:r w:rsidRPr="00925CB8">
              <w:rPr>
                <w:rFonts w:ascii="Arial Narrow" w:hAnsi="Arial Narrow" w:cs="Arial"/>
                <w:sz w:val="20"/>
                <w:szCs w:val="20"/>
                <w:lang w:val="en-US"/>
              </w:rPr>
              <w:t>)</w:t>
            </w:r>
          </w:p>
        </w:tc>
      </w:tr>
      <w:tr w:rsidR="00925CB8" w:rsidRPr="00925CB8" w14:paraId="6E962831" w14:textId="77777777" w:rsidTr="009841CB">
        <w:trPr>
          <w:trHeight w:val="144"/>
          <w:jc w:val="right"/>
        </w:trPr>
        <w:tc>
          <w:tcPr>
            <w:tcW w:w="3870" w:type="dxa"/>
            <w:tcBorders>
              <w:top w:val="nil"/>
              <w:left w:val="nil"/>
              <w:bottom w:val="single" w:sz="4" w:space="0" w:color="auto"/>
              <w:right w:val="nil"/>
            </w:tcBorders>
            <w:noWrap/>
            <w:vAlign w:val="bottom"/>
            <w:hideMark/>
          </w:tcPr>
          <w:p w14:paraId="61DEAF22" w14:textId="77777777" w:rsidR="00B4130A" w:rsidRPr="00925CB8"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Financial assistance/subsidy/contribution</w:t>
            </w:r>
          </w:p>
        </w:tc>
        <w:tc>
          <w:tcPr>
            <w:tcW w:w="1515" w:type="dxa"/>
            <w:tcBorders>
              <w:top w:val="nil"/>
              <w:left w:val="nil"/>
              <w:bottom w:val="single" w:sz="4" w:space="0" w:color="auto"/>
              <w:right w:val="nil"/>
            </w:tcBorders>
            <w:vAlign w:val="bottom"/>
          </w:tcPr>
          <w:p w14:paraId="36F1A6AF"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5,221,056,543</w:t>
            </w:r>
          </w:p>
        </w:tc>
        <w:tc>
          <w:tcPr>
            <w:tcW w:w="1515" w:type="dxa"/>
            <w:tcBorders>
              <w:top w:val="nil"/>
              <w:left w:val="nil"/>
              <w:bottom w:val="single" w:sz="4" w:space="0" w:color="auto"/>
              <w:right w:val="nil"/>
            </w:tcBorders>
            <w:vAlign w:val="bottom"/>
          </w:tcPr>
          <w:p w14:paraId="6F9460A9"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6,142,401,580</w:t>
            </w:r>
          </w:p>
        </w:tc>
        <w:tc>
          <w:tcPr>
            <w:tcW w:w="1743" w:type="dxa"/>
            <w:tcBorders>
              <w:top w:val="nil"/>
              <w:left w:val="nil"/>
              <w:bottom w:val="single" w:sz="4" w:space="0" w:color="auto"/>
              <w:right w:val="nil"/>
            </w:tcBorders>
            <w:vAlign w:val="bottom"/>
          </w:tcPr>
          <w:p w14:paraId="2A4D3279" w14:textId="77777777" w:rsidR="00B4130A"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(921,345,037)</w:t>
            </w:r>
          </w:p>
        </w:tc>
      </w:tr>
      <w:tr w:rsidR="00925CB8" w:rsidRPr="00925CB8" w14:paraId="122D8018" w14:textId="77777777" w:rsidTr="009841CB">
        <w:trPr>
          <w:trHeight w:val="260"/>
          <w:jc w:val="right"/>
        </w:trPr>
        <w:tc>
          <w:tcPr>
            <w:tcW w:w="3870" w:type="dxa"/>
            <w:tcBorders>
              <w:top w:val="single" w:sz="4" w:space="0" w:color="auto"/>
              <w:left w:val="nil"/>
              <w:bottom w:val="nil"/>
              <w:right w:val="nil"/>
            </w:tcBorders>
            <w:noWrap/>
            <w:vAlign w:val="bottom"/>
            <w:hideMark/>
          </w:tcPr>
          <w:p w14:paraId="1190D0A5" w14:textId="77777777" w:rsidR="00B4130A" w:rsidRPr="00925CB8"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Net income/(loss)</w:t>
            </w:r>
          </w:p>
        </w:tc>
        <w:tc>
          <w:tcPr>
            <w:tcW w:w="1515" w:type="dxa"/>
            <w:tcBorders>
              <w:top w:val="single" w:sz="4" w:space="0" w:color="auto"/>
              <w:left w:val="nil"/>
              <w:bottom w:val="nil"/>
              <w:right w:val="nil"/>
            </w:tcBorders>
            <w:vAlign w:val="bottom"/>
          </w:tcPr>
          <w:p w14:paraId="7BA112B2" w14:textId="41A090FF" w:rsidR="00B4130A"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3,826,</w:t>
            </w:r>
            <w:r w:rsidR="004F0FB4" w:rsidRPr="00925CB8">
              <w:rPr>
                <w:rFonts w:ascii="Arial Narrow" w:hAnsi="Arial Narrow" w:cs="Arial"/>
                <w:bCs/>
                <w:sz w:val="20"/>
                <w:szCs w:val="20"/>
                <w:lang w:val="en-US"/>
              </w:rPr>
              <w:t>71</w:t>
            </w:r>
            <w:r w:rsidR="004F0FB4">
              <w:rPr>
                <w:rFonts w:ascii="Arial Narrow" w:hAnsi="Arial Narrow" w:cs="Arial"/>
                <w:bCs/>
                <w:sz w:val="20"/>
                <w:szCs w:val="20"/>
                <w:lang w:val="en-US"/>
              </w:rPr>
              <w:t>3</w:t>
            </w:r>
            <w:r w:rsidRPr="00925CB8">
              <w:rPr>
                <w:rFonts w:ascii="Arial Narrow" w:hAnsi="Arial Narrow" w:cs="Arial"/>
                <w:bCs/>
                <w:sz w:val="20"/>
                <w:szCs w:val="20"/>
                <w:lang w:val="en-US"/>
              </w:rPr>
              <w:t>,454</w:t>
            </w:r>
          </w:p>
        </w:tc>
        <w:tc>
          <w:tcPr>
            <w:tcW w:w="1515" w:type="dxa"/>
            <w:tcBorders>
              <w:top w:val="single" w:sz="4" w:space="0" w:color="auto"/>
              <w:left w:val="nil"/>
              <w:bottom w:val="nil"/>
              <w:right w:val="nil"/>
            </w:tcBorders>
            <w:vAlign w:val="bottom"/>
          </w:tcPr>
          <w:p w14:paraId="6D571ED0" w14:textId="47E75875" w:rsidR="00B4130A" w:rsidRPr="00925CB8" w:rsidRDefault="00515386">
            <w:pPr>
              <w:spacing w:after="0" w:line="240" w:lineRule="auto"/>
              <w:jc w:val="right"/>
              <w:rPr>
                <w:rFonts w:ascii="Arial Narrow" w:hAnsi="Arial Narrow" w:cs="Arial"/>
                <w:bCs/>
                <w:sz w:val="20"/>
                <w:szCs w:val="20"/>
                <w:lang w:val="en-US"/>
              </w:rPr>
            </w:pPr>
            <w:r w:rsidRPr="00925CB8">
              <w:rPr>
                <w:rFonts w:ascii="Arial Narrow" w:hAnsi="Arial Narrow" w:cs="Arial"/>
                <w:bCs/>
                <w:sz w:val="20"/>
                <w:szCs w:val="20"/>
                <w:lang w:val="en-US"/>
              </w:rPr>
              <w:t>4,327,445,</w:t>
            </w:r>
            <w:r w:rsidR="00D62720" w:rsidRPr="00925CB8">
              <w:rPr>
                <w:rFonts w:ascii="Arial Narrow" w:hAnsi="Arial Narrow" w:cs="Arial"/>
                <w:bCs/>
                <w:sz w:val="20"/>
                <w:szCs w:val="20"/>
                <w:lang w:val="en-US"/>
              </w:rPr>
              <w:t>24</w:t>
            </w:r>
            <w:r w:rsidR="00D62720">
              <w:rPr>
                <w:rFonts w:ascii="Arial Narrow" w:hAnsi="Arial Narrow" w:cs="Arial"/>
                <w:bCs/>
                <w:sz w:val="20"/>
                <w:szCs w:val="20"/>
                <w:lang w:val="en-US"/>
              </w:rPr>
              <w:t>8</w:t>
            </w:r>
          </w:p>
        </w:tc>
        <w:tc>
          <w:tcPr>
            <w:tcW w:w="1743" w:type="dxa"/>
            <w:tcBorders>
              <w:top w:val="single" w:sz="4" w:space="0" w:color="auto"/>
              <w:left w:val="nil"/>
              <w:bottom w:val="nil"/>
              <w:right w:val="nil"/>
            </w:tcBorders>
            <w:vAlign w:val="bottom"/>
          </w:tcPr>
          <w:p w14:paraId="4245FDFC" w14:textId="113967D5" w:rsidR="00B4130A" w:rsidRPr="00925CB8" w:rsidRDefault="00515386">
            <w:pPr>
              <w:spacing w:after="0" w:line="240" w:lineRule="auto"/>
              <w:ind w:right="-104"/>
              <w:jc w:val="right"/>
              <w:rPr>
                <w:rFonts w:ascii="Arial Narrow" w:hAnsi="Arial Narrow" w:cs="Arial"/>
                <w:sz w:val="20"/>
                <w:szCs w:val="20"/>
                <w:lang w:val="en-US"/>
              </w:rPr>
            </w:pPr>
            <w:r w:rsidRPr="00925CB8">
              <w:rPr>
                <w:rFonts w:ascii="Arial Narrow" w:hAnsi="Arial Narrow" w:cs="Arial"/>
                <w:sz w:val="20"/>
                <w:szCs w:val="20"/>
                <w:lang w:val="en-US"/>
              </w:rPr>
              <w:t>(500,731,</w:t>
            </w:r>
            <w:r w:rsidR="00D62720" w:rsidRPr="00925CB8">
              <w:rPr>
                <w:rFonts w:ascii="Arial Narrow" w:hAnsi="Arial Narrow" w:cs="Arial"/>
                <w:sz w:val="20"/>
                <w:szCs w:val="20"/>
                <w:lang w:val="en-US"/>
              </w:rPr>
              <w:t>79</w:t>
            </w:r>
            <w:r w:rsidR="00D62720">
              <w:rPr>
                <w:rFonts w:ascii="Arial Narrow" w:hAnsi="Arial Narrow" w:cs="Arial"/>
                <w:sz w:val="20"/>
                <w:szCs w:val="20"/>
                <w:lang w:val="en-US"/>
              </w:rPr>
              <w:t>4</w:t>
            </w:r>
            <w:r w:rsidRPr="00925CB8">
              <w:rPr>
                <w:rFonts w:ascii="Arial Narrow" w:hAnsi="Arial Narrow" w:cs="Arial"/>
                <w:sz w:val="20"/>
                <w:szCs w:val="20"/>
                <w:lang w:val="en-US"/>
              </w:rPr>
              <w:t>)</w:t>
            </w:r>
          </w:p>
        </w:tc>
      </w:tr>
      <w:tr w:rsidR="00925CB8" w:rsidRPr="00925CB8" w14:paraId="47348868" w14:textId="77777777" w:rsidTr="009841CB">
        <w:trPr>
          <w:trHeight w:val="191"/>
          <w:jc w:val="right"/>
        </w:trPr>
        <w:tc>
          <w:tcPr>
            <w:tcW w:w="3870" w:type="dxa"/>
            <w:tcBorders>
              <w:top w:val="nil"/>
              <w:left w:val="nil"/>
              <w:bottom w:val="single" w:sz="4" w:space="0" w:color="auto"/>
              <w:right w:val="nil"/>
            </w:tcBorders>
            <w:noWrap/>
            <w:vAlign w:val="bottom"/>
            <w:hideMark/>
          </w:tcPr>
          <w:p w14:paraId="7697E07F" w14:textId="77777777" w:rsidR="00B4130A" w:rsidRPr="00925CB8" w:rsidRDefault="00B4130A">
            <w:pPr>
              <w:suppressAutoHyphens/>
              <w:snapToGrid w:val="0"/>
              <w:spacing w:after="0" w:line="240" w:lineRule="auto"/>
              <w:ind w:hanging="9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Other comprehensive income (loss) for the period</w:t>
            </w:r>
          </w:p>
        </w:tc>
        <w:tc>
          <w:tcPr>
            <w:tcW w:w="1515" w:type="dxa"/>
            <w:tcBorders>
              <w:top w:val="nil"/>
              <w:left w:val="nil"/>
              <w:bottom w:val="single" w:sz="4" w:space="0" w:color="auto"/>
              <w:right w:val="nil"/>
            </w:tcBorders>
            <w:vAlign w:val="bottom"/>
          </w:tcPr>
          <w:p w14:paraId="3B8C68CA" w14:textId="77777777" w:rsidR="00B4130A" w:rsidRPr="00925CB8" w:rsidRDefault="00515386">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13,529,645</w:t>
            </w:r>
          </w:p>
        </w:tc>
        <w:tc>
          <w:tcPr>
            <w:tcW w:w="1515" w:type="dxa"/>
            <w:tcBorders>
              <w:top w:val="nil"/>
              <w:left w:val="nil"/>
              <w:bottom w:val="single" w:sz="4" w:space="0" w:color="auto"/>
              <w:right w:val="nil"/>
            </w:tcBorders>
            <w:vAlign w:val="bottom"/>
          </w:tcPr>
          <w:p w14:paraId="149CE294" w14:textId="62511C5C" w:rsidR="00B4130A" w:rsidRPr="00925CB8" w:rsidRDefault="00515386" w:rsidP="00FB4360">
            <w:pPr>
              <w:spacing w:after="0" w:line="240" w:lineRule="auto"/>
              <w:jc w:val="right"/>
              <w:rPr>
                <w:rFonts w:ascii="Arial Narrow" w:hAnsi="Arial Narrow" w:cs="Arial"/>
                <w:sz w:val="20"/>
                <w:szCs w:val="20"/>
                <w:lang w:val="en-US"/>
              </w:rPr>
            </w:pPr>
            <w:r w:rsidRPr="00925CB8">
              <w:rPr>
                <w:rFonts w:ascii="Arial Narrow" w:hAnsi="Arial Narrow" w:cs="Arial"/>
                <w:sz w:val="20"/>
                <w:szCs w:val="20"/>
                <w:lang w:val="en-US"/>
              </w:rPr>
              <w:t>(13,807,</w:t>
            </w:r>
            <w:r w:rsidR="0073121F">
              <w:rPr>
                <w:rFonts w:ascii="Arial Narrow" w:hAnsi="Arial Narrow" w:cs="Arial"/>
                <w:sz w:val="20"/>
                <w:szCs w:val="20"/>
                <w:lang w:val="en-US"/>
              </w:rPr>
              <w:t>232</w:t>
            </w:r>
            <w:r w:rsidRPr="00925CB8">
              <w:rPr>
                <w:rFonts w:ascii="Arial Narrow" w:hAnsi="Arial Narrow" w:cs="Arial"/>
                <w:sz w:val="20"/>
                <w:szCs w:val="20"/>
                <w:lang w:val="en-US"/>
              </w:rPr>
              <w:t>)</w:t>
            </w:r>
          </w:p>
        </w:tc>
        <w:tc>
          <w:tcPr>
            <w:tcW w:w="1743" w:type="dxa"/>
            <w:tcBorders>
              <w:top w:val="nil"/>
              <w:left w:val="nil"/>
              <w:bottom w:val="single" w:sz="4" w:space="0" w:color="auto"/>
              <w:right w:val="nil"/>
            </w:tcBorders>
            <w:vAlign w:val="bottom"/>
          </w:tcPr>
          <w:p w14:paraId="61AD0F65" w14:textId="77777777" w:rsidR="00B4130A" w:rsidRPr="00925CB8" w:rsidRDefault="00515386" w:rsidP="00961C48">
            <w:pPr>
              <w:spacing w:after="0" w:line="240" w:lineRule="auto"/>
              <w:ind w:right="-104"/>
              <w:jc w:val="right"/>
              <w:rPr>
                <w:rFonts w:ascii="Arial Narrow" w:hAnsi="Arial Narrow"/>
                <w:sz w:val="20"/>
                <w:szCs w:val="20"/>
                <w:lang w:val="en-US"/>
              </w:rPr>
            </w:pPr>
            <w:r w:rsidRPr="00925CB8">
              <w:rPr>
                <w:rFonts w:ascii="Arial Narrow" w:hAnsi="Arial Narrow"/>
                <w:sz w:val="20"/>
                <w:szCs w:val="20"/>
                <w:lang w:val="en-US"/>
              </w:rPr>
              <w:t>27,336,877</w:t>
            </w:r>
          </w:p>
        </w:tc>
      </w:tr>
      <w:tr w:rsidR="0084620C" w:rsidRPr="00925CB8" w14:paraId="05DDDADA" w14:textId="77777777" w:rsidTr="009841CB">
        <w:trPr>
          <w:trHeight w:val="206"/>
          <w:jc w:val="right"/>
        </w:trPr>
        <w:tc>
          <w:tcPr>
            <w:tcW w:w="3870" w:type="dxa"/>
            <w:tcBorders>
              <w:top w:val="single" w:sz="4" w:space="0" w:color="auto"/>
              <w:left w:val="nil"/>
              <w:bottom w:val="double" w:sz="4" w:space="0" w:color="auto"/>
              <w:right w:val="nil"/>
            </w:tcBorders>
            <w:noWrap/>
            <w:vAlign w:val="bottom"/>
            <w:hideMark/>
          </w:tcPr>
          <w:p w14:paraId="4561DB24" w14:textId="77777777" w:rsidR="00B4130A" w:rsidRPr="00925CB8" w:rsidRDefault="00B4130A">
            <w:pPr>
              <w:suppressAutoHyphens/>
              <w:snapToGrid w:val="0"/>
              <w:spacing w:after="0" w:line="240" w:lineRule="auto"/>
              <w:ind w:hanging="93"/>
              <w:rPr>
                <w:rFonts w:ascii="Arial Narrow" w:eastAsia="Times New Roman" w:hAnsi="Arial Narrow" w:cs="Arial"/>
                <w:b/>
                <w:bCs/>
                <w:sz w:val="20"/>
                <w:szCs w:val="20"/>
                <w:lang w:val="en-US" w:eastAsia="ar-SA"/>
              </w:rPr>
            </w:pPr>
            <w:r w:rsidRPr="00925CB8">
              <w:rPr>
                <w:rFonts w:ascii="Arial Narrow" w:eastAsia="Times New Roman" w:hAnsi="Arial Narrow" w:cs="Arial"/>
                <w:b/>
                <w:bCs/>
                <w:sz w:val="20"/>
                <w:szCs w:val="20"/>
                <w:lang w:val="en-US" w:eastAsia="ar-SA"/>
              </w:rPr>
              <w:t>Total Comprehensive Income</w:t>
            </w:r>
          </w:p>
        </w:tc>
        <w:tc>
          <w:tcPr>
            <w:tcW w:w="1515" w:type="dxa"/>
            <w:tcBorders>
              <w:top w:val="single" w:sz="4" w:space="0" w:color="auto"/>
              <w:left w:val="nil"/>
              <w:bottom w:val="double" w:sz="4" w:space="0" w:color="auto"/>
              <w:right w:val="nil"/>
            </w:tcBorders>
            <w:vAlign w:val="bottom"/>
          </w:tcPr>
          <w:p w14:paraId="5620DA5B" w14:textId="77777777" w:rsidR="00B4130A" w:rsidRPr="00925CB8" w:rsidRDefault="00515386">
            <w:pPr>
              <w:spacing w:after="0" w:line="240" w:lineRule="auto"/>
              <w:jc w:val="right"/>
              <w:rPr>
                <w:rFonts w:ascii="Arial Narrow" w:hAnsi="Arial Narrow" w:cs="Arial"/>
                <w:b/>
                <w:sz w:val="20"/>
                <w:szCs w:val="20"/>
                <w:lang w:val="en-US"/>
              </w:rPr>
            </w:pPr>
            <w:r w:rsidRPr="00925CB8">
              <w:rPr>
                <w:rFonts w:ascii="Arial Narrow" w:hAnsi="Arial Narrow" w:cs="Arial"/>
                <w:b/>
                <w:sz w:val="20"/>
                <w:szCs w:val="20"/>
                <w:lang w:val="en-US"/>
              </w:rPr>
              <w:t>3,840,243,099</w:t>
            </w:r>
          </w:p>
        </w:tc>
        <w:tc>
          <w:tcPr>
            <w:tcW w:w="1515" w:type="dxa"/>
            <w:tcBorders>
              <w:top w:val="single" w:sz="4" w:space="0" w:color="auto"/>
              <w:left w:val="nil"/>
              <w:bottom w:val="double" w:sz="4" w:space="0" w:color="auto"/>
              <w:right w:val="nil"/>
            </w:tcBorders>
            <w:vAlign w:val="bottom"/>
          </w:tcPr>
          <w:p w14:paraId="4565AC93" w14:textId="5CB9E849" w:rsidR="00B4130A" w:rsidRPr="00925CB8" w:rsidRDefault="00515386">
            <w:pPr>
              <w:spacing w:after="0" w:line="240" w:lineRule="auto"/>
              <w:jc w:val="right"/>
              <w:rPr>
                <w:rFonts w:ascii="Arial Narrow" w:hAnsi="Arial Narrow" w:cs="Arial"/>
                <w:b/>
                <w:sz w:val="20"/>
                <w:szCs w:val="20"/>
                <w:lang w:val="en-US"/>
              </w:rPr>
            </w:pPr>
            <w:r w:rsidRPr="00925CB8">
              <w:rPr>
                <w:rFonts w:ascii="Arial Narrow" w:hAnsi="Arial Narrow" w:cs="Arial"/>
                <w:b/>
                <w:sz w:val="20"/>
                <w:szCs w:val="20"/>
                <w:lang w:val="en-US"/>
              </w:rPr>
              <w:t>4,313,638,</w:t>
            </w:r>
            <w:r w:rsidR="00D62720" w:rsidRPr="00925CB8">
              <w:rPr>
                <w:rFonts w:ascii="Arial Narrow" w:hAnsi="Arial Narrow" w:cs="Arial"/>
                <w:b/>
                <w:sz w:val="20"/>
                <w:szCs w:val="20"/>
                <w:lang w:val="en-US"/>
              </w:rPr>
              <w:t>01</w:t>
            </w:r>
            <w:r w:rsidR="00D62720">
              <w:rPr>
                <w:rFonts w:ascii="Arial Narrow" w:hAnsi="Arial Narrow" w:cs="Arial"/>
                <w:b/>
                <w:sz w:val="20"/>
                <w:szCs w:val="20"/>
                <w:lang w:val="en-US"/>
              </w:rPr>
              <w:t>6</w:t>
            </w:r>
          </w:p>
        </w:tc>
        <w:tc>
          <w:tcPr>
            <w:tcW w:w="1743" w:type="dxa"/>
            <w:tcBorders>
              <w:top w:val="single" w:sz="4" w:space="0" w:color="auto"/>
              <w:left w:val="nil"/>
              <w:bottom w:val="double" w:sz="4" w:space="0" w:color="auto"/>
              <w:right w:val="nil"/>
            </w:tcBorders>
            <w:vAlign w:val="bottom"/>
          </w:tcPr>
          <w:p w14:paraId="689A633C" w14:textId="631123D1" w:rsidR="00B4130A" w:rsidRPr="00925CB8" w:rsidRDefault="00515386">
            <w:pPr>
              <w:spacing w:after="0" w:line="240" w:lineRule="auto"/>
              <w:ind w:right="-104"/>
              <w:jc w:val="right"/>
              <w:rPr>
                <w:rFonts w:ascii="Arial Narrow" w:hAnsi="Arial Narrow" w:cs="Arial"/>
                <w:b/>
                <w:sz w:val="20"/>
                <w:szCs w:val="20"/>
                <w:lang w:val="en-US"/>
              </w:rPr>
            </w:pPr>
            <w:r w:rsidRPr="00925CB8">
              <w:rPr>
                <w:rFonts w:ascii="Arial Narrow" w:hAnsi="Arial Narrow" w:cs="Arial"/>
                <w:b/>
                <w:sz w:val="20"/>
                <w:szCs w:val="20"/>
                <w:lang w:val="en-US"/>
              </w:rPr>
              <w:t>(473,394,</w:t>
            </w:r>
            <w:r w:rsidR="00D62720" w:rsidRPr="00925CB8">
              <w:rPr>
                <w:rFonts w:ascii="Arial Narrow" w:hAnsi="Arial Narrow" w:cs="Arial"/>
                <w:b/>
                <w:sz w:val="20"/>
                <w:szCs w:val="20"/>
                <w:lang w:val="en-US"/>
              </w:rPr>
              <w:t>91</w:t>
            </w:r>
            <w:r w:rsidR="00D62720">
              <w:rPr>
                <w:rFonts w:ascii="Arial Narrow" w:hAnsi="Arial Narrow" w:cs="Arial"/>
                <w:b/>
                <w:sz w:val="20"/>
                <w:szCs w:val="20"/>
                <w:lang w:val="en-US"/>
              </w:rPr>
              <w:t>7</w:t>
            </w:r>
            <w:r w:rsidRPr="00925CB8">
              <w:rPr>
                <w:rFonts w:ascii="Arial Narrow" w:hAnsi="Arial Narrow" w:cs="Arial"/>
                <w:b/>
                <w:sz w:val="20"/>
                <w:szCs w:val="20"/>
                <w:lang w:val="en-US"/>
              </w:rPr>
              <w:t>)</w:t>
            </w:r>
          </w:p>
        </w:tc>
      </w:tr>
    </w:tbl>
    <w:p w14:paraId="2B219FCF" w14:textId="77777777" w:rsidR="00B4130A" w:rsidRPr="00925CB8" w:rsidRDefault="00B4130A" w:rsidP="00B4130A">
      <w:pPr>
        <w:spacing w:after="0" w:line="240" w:lineRule="auto"/>
        <w:jc w:val="both"/>
        <w:rPr>
          <w:rFonts w:ascii="Arial Narrow" w:hAnsi="Arial Narrow" w:cs="Arial"/>
          <w:b/>
          <w:sz w:val="20"/>
          <w:szCs w:val="20"/>
        </w:rPr>
      </w:pPr>
    </w:p>
    <w:p w14:paraId="43FC8E08" w14:textId="77777777" w:rsidR="00B4130A" w:rsidRPr="00925CB8" w:rsidRDefault="009841CB" w:rsidP="00B4130A">
      <w:pPr>
        <w:pStyle w:val="ListParagraph"/>
        <w:numPr>
          <w:ilvl w:val="0"/>
          <w:numId w:val="1"/>
        </w:numPr>
        <w:ind w:left="567" w:hanging="567"/>
        <w:jc w:val="both"/>
        <w:rPr>
          <w:rFonts w:ascii="Arial" w:hAnsi="Arial" w:cs="Arial"/>
          <w:b/>
          <w:sz w:val="20"/>
          <w:szCs w:val="20"/>
        </w:rPr>
      </w:pPr>
      <w:r w:rsidRPr="00925CB8">
        <w:rPr>
          <w:rFonts w:ascii="Arial" w:hAnsi="Arial" w:cs="Arial"/>
          <w:b/>
          <w:sz w:val="20"/>
          <w:szCs w:val="20"/>
        </w:rPr>
        <w:t>Comparison of the CY 202</w:t>
      </w:r>
      <w:r w:rsidR="00E4107C" w:rsidRPr="00925CB8">
        <w:rPr>
          <w:rFonts w:ascii="Arial" w:hAnsi="Arial" w:cs="Arial"/>
          <w:b/>
          <w:sz w:val="20"/>
          <w:szCs w:val="20"/>
        </w:rPr>
        <w:t>3</w:t>
      </w:r>
      <w:r w:rsidR="00B4130A" w:rsidRPr="00925CB8">
        <w:rPr>
          <w:rFonts w:ascii="Arial" w:hAnsi="Arial" w:cs="Arial"/>
          <w:b/>
          <w:sz w:val="20"/>
          <w:szCs w:val="20"/>
        </w:rPr>
        <w:t xml:space="preserve"> Budget and Actual Amounts on Comparable Basis</w:t>
      </w:r>
    </w:p>
    <w:p w14:paraId="4AE1ADD6" w14:textId="77777777" w:rsidR="00B4130A" w:rsidRPr="00925CB8" w:rsidRDefault="00B4130A" w:rsidP="00B4130A">
      <w:pPr>
        <w:spacing w:after="0" w:line="240" w:lineRule="auto"/>
        <w:jc w:val="both"/>
        <w:rPr>
          <w:rFonts w:ascii="Arial Narrow" w:hAnsi="Arial Narrow" w:cs="Arial"/>
          <w:sz w:val="20"/>
          <w:szCs w:val="20"/>
        </w:rPr>
      </w:pPr>
    </w:p>
    <w:tbl>
      <w:tblPr>
        <w:tblW w:w="8651" w:type="dxa"/>
        <w:jc w:val="right"/>
        <w:tblLook w:val="04A0" w:firstRow="1" w:lastRow="0" w:firstColumn="1" w:lastColumn="0" w:noHBand="0" w:noVBand="1"/>
      </w:tblPr>
      <w:tblGrid>
        <w:gridCol w:w="256"/>
        <w:gridCol w:w="3411"/>
        <w:gridCol w:w="1699"/>
        <w:gridCol w:w="1585"/>
        <w:gridCol w:w="1700"/>
      </w:tblGrid>
      <w:tr w:rsidR="00925CB8" w:rsidRPr="00925CB8" w14:paraId="395133E8" w14:textId="77777777" w:rsidTr="009841CB">
        <w:trPr>
          <w:trHeight w:val="350"/>
          <w:jc w:val="right"/>
        </w:trPr>
        <w:tc>
          <w:tcPr>
            <w:tcW w:w="257" w:type="dxa"/>
            <w:tcBorders>
              <w:top w:val="single" w:sz="4" w:space="0" w:color="auto"/>
              <w:left w:val="nil"/>
              <w:bottom w:val="single" w:sz="4" w:space="0" w:color="auto"/>
              <w:right w:val="nil"/>
            </w:tcBorders>
            <w:vAlign w:val="bottom"/>
            <w:hideMark/>
          </w:tcPr>
          <w:p w14:paraId="4ED6B7EB" w14:textId="77777777" w:rsidR="00B4130A" w:rsidRPr="00925CB8" w:rsidRDefault="00B4130A">
            <w:pPr>
              <w:rPr>
                <w:rFonts w:ascii="Arial Narrow" w:hAnsi="Arial Narrow" w:cs="Arial"/>
                <w:sz w:val="20"/>
                <w:szCs w:val="20"/>
              </w:rPr>
            </w:pPr>
          </w:p>
        </w:tc>
        <w:tc>
          <w:tcPr>
            <w:tcW w:w="3433" w:type="dxa"/>
            <w:tcBorders>
              <w:top w:val="single" w:sz="4" w:space="0" w:color="auto"/>
              <w:left w:val="nil"/>
              <w:bottom w:val="single" w:sz="4" w:space="0" w:color="auto"/>
              <w:right w:val="nil"/>
            </w:tcBorders>
            <w:vAlign w:val="bottom"/>
          </w:tcPr>
          <w:p w14:paraId="1E5A8FA9" w14:textId="77777777" w:rsidR="00B4130A" w:rsidRPr="00925CB8" w:rsidRDefault="00B4130A">
            <w:pPr>
              <w:spacing w:after="0" w:line="240" w:lineRule="auto"/>
              <w:ind w:left="-108" w:right="-108"/>
              <w:jc w:val="right"/>
              <w:rPr>
                <w:rFonts w:ascii="Arial Narrow" w:eastAsia="Times New Roman" w:hAnsi="Arial Narrow" w:cs="Arial"/>
                <w:b/>
                <w:bCs/>
                <w:sz w:val="20"/>
                <w:szCs w:val="20"/>
                <w:lang w:val="en-US"/>
              </w:rPr>
            </w:pPr>
          </w:p>
        </w:tc>
        <w:tc>
          <w:tcPr>
            <w:tcW w:w="1701" w:type="dxa"/>
            <w:tcBorders>
              <w:top w:val="single" w:sz="4" w:space="0" w:color="auto"/>
              <w:left w:val="nil"/>
              <w:bottom w:val="single" w:sz="4" w:space="0" w:color="auto"/>
              <w:right w:val="nil"/>
            </w:tcBorders>
            <w:vAlign w:val="bottom"/>
            <w:hideMark/>
          </w:tcPr>
          <w:p w14:paraId="1345FF58" w14:textId="77777777" w:rsidR="00B4130A" w:rsidRPr="00925CB8" w:rsidRDefault="00B4130A">
            <w:pPr>
              <w:spacing w:after="0" w:line="240" w:lineRule="auto"/>
              <w:ind w:left="-110" w:right="-100"/>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Approved Corporate Operating Budget</w:t>
            </w:r>
          </w:p>
        </w:tc>
        <w:tc>
          <w:tcPr>
            <w:tcW w:w="1559" w:type="dxa"/>
            <w:tcBorders>
              <w:top w:val="single" w:sz="4" w:space="0" w:color="auto"/>
              <w:left w:val="nil"/>
              <w:bottom w:val="single" w:sz="4" w:space="0" w:color="auto"/>
              <w:right w:val="nil"/>
            </w:tcBorders>
            <w:vAlign w:val="bottom"/>
            <w:hideMark/>
          </w:tcPr>
          <w:p w14:paraId="7F61883D" w14:textId="77777777" w:rsidR="00B4130A" w:rsidRPr="00925CB8" w:rsidRDefault="00B4130A">
            <w:pPr>
              <w:spacing w:after="0" w:line="240" w:lineRule="auto"/>
              <w:ind w:right="-100"/>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Actual Amounts on Comparable Basis</w:t>
            </w:r>
          </w:p>
        </w:tc>
        <w:tc>
          <w:tcPr>
            <w:tcW w:w="1701" w:type="dxa"/>
            <w:tcBorders>
              <w:top w:val="single" w:sz="4" w:space="0" w:color="auto"/>
              <w:left w:val="nil"/>
              <w:bottom w:val="single" w:sz="4" w:space="0" w:color="auto"/>
              <w:right w:val="nil"/>
            </w:tcBorders>
            <w:vAlign w:val="bottom"/>
            <w:hideMark/>
          </w:tcPr>
          <w:p w14:paraId="5BB491FB" w14:textId="77777777" w:rsidR="00B4130A" w:rsidRPr="00925CB8" w:rsidRDefault="00B4130A">
            <w:pPr>
              <w:spacing w:after="0" w:line="240" w:lineRule="auto"/>
              <w:ind w:right="-108"/>
              <w:jc w:val="right"/>
              <w:rPr>
                <w:rFonts w:ascii="Arial Narrow" w:eastAsia="Times New Roman" w:hAnsi="Arial Narrow" w:cs="Arial"/>
                <w:b/>
                <w:bCs/>
                <w:sz w:val="20"/>
                <w:szCs w:val="20"/>
                <w:lang w:val="en-US"/>
              </w:rPr>
            </w:pPr>
            <w:r w:rsidRPr="00925CB8">
              <w:rPr>
                <w:rFonts w:ascii="Arial Narrow" w:eastAsia="Times New Roman" w:hAnsi="Arial Narrow" w:cs="Arial"/>
                <w:b/>
                <w:bCs/>
                <w:sz w:val="20"/>
                <w:szCs w:val="20"/>
                <w:lang w:val="en-US"/>
              </w:rPr>
              <w:t>Variance</w:t>
            </w:r>
          </w:p>
        </w:tc>
      </w:tr>
      <w:tr w:rsidR="00925CB8" w:rsidRPr="00925CB8" w14:paraId="68F8889D" w14:textId="77777777" w:rsidTr="009841CB">
        <w:trPr>
          <w:trHeight w:val="50"/>
          <w:jc w:val="right"/>
        </w:trPr>
        <w:tc>
          <w:tcPr>
            <w:tcW w:w="3690" w:type="dxa"/>
            <w:gridSpan w:val="2"/>
            <w:tcBorders>
              <w:top w:val="single" w:sz="4" w:space="0" w:color="auto"/>
              <w:left w:val="nil"/>
              <w:bottom w:val="nil"/>
              <w:right w:val="nil"/>
            </w:tcBorders>
            <w:vAlign w:val="center"/>
            <w:hideMark/>
          </w:tcPr>
          <w:p w14:paraId="7B41306E" w14:textId="77777777" w:rsidR="00E33F1E" w:rsidRPr="00925CB8"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Operating Fund</w:t>
            </w:r>
          </w:p>
        </w:tc>
        <w:tc>
          <w:tcPr>
            <w:tcW w:w="1701" w:type="dxa"/>
            <w:tcBorders>
              <w:top w:val="single" w:sz="4" w:space="0" w:color="auto"/>
              <w:left w:val="nil"/>
              <w:bottom w:val="nil"/>
              <w:right w:val="nil"/>
            </w:tcBorders>
            <w:vAlign w:val="bottom"/>
          </w:tcPr>
          <w:p w14:paraId="0EEBF469" w14:textId="77777777" w:rsidR="00E33F1E" w:rsidRPr="00925CB8" w:rsidRDefault="00E33F1E" w:rsidP="00E33F1E">
            <w:pPr>
              <w:spacing w:after="0"/>
              <w:ind w:left="-110" w:right="-100"/>
              <w:jc w:val="right"/>
              <w:rPr>
                <w:rFonts w:ascii="Arial Narrow" w:hAnsi="Arial Narrow"/>
                <w:sz w:val="18"/>
                <w:szCs w:val="18"/>
              </w:rPr>
            </w:pPr>
          </w:p>
        </w:tc>
        <w:tc>
          <w:tcPr>
            <w:tcW w:w="1559" w:type="dxa"/>
            <w:tcBorders>
              <w:top w:val="single" w:sz="4" w:space="0" w:color="auto"/>
              <w:left w:val="nil"/>
              <w:bottom w:val="nil"/>
              <w:right w:val="nil"/>
            </w:tcBorders>
            <w:vAlign w:val="bottom"/>
          </w:tcPr>
          <w:p w14:paraId="0D0C0AC8" w14:textId="77777777" w:rsidR="00E33F1E" w:rsidRPr="00925CB8" w:rsidRDefault="00E33F1E" w:rsidP="00E33F1E">
            <w:pPr>
              <w:spacing w:after="0"/>
              <w:ind w:right="-100"/>
              <w:jc w:val="right"/>
              <w:rPr>
                <w:rFonts w:ascii="Arial Narrow" w:hAnsi="Arial Narrow" w:cs="Arial"/>
                <w:sz w:val="18"/>
                <w:szCs w:val="18"/>
              </w:rPr>
            </w:pPr>
          </w:p>
        </w:tc>
        <w:tc>
          <w:tcPr>
            <w:tcW w:w="1701" w:type="dxa"/>
            <w:tcBorders>
              <w:top w:val="single" w:sz="4" w:space="0" w:color="auto"/>
              <w:left w:val="nil"/>
              <w:bottom w:val="nil"/>
              <w:right w:val="nil"/>
            </w:tcBorders>
            <w:vAlign w:val="center"/>
          </w:tcPr>
          <w:p w14:paraId="22065BB2" w14:textId="77777777" w:rsidR="00E33F1E" w:rsidRPr="00925CB8" w:rsidRDefault="00E33F1E" w:rsidP="00E33F1E">
            <w:pPr>
              <w:spacing w:after="0" w:line="240" w:lineRule="auto"/>
              <w:ind w:right="-108"/>
              <w:jc w:val="right"/>
              <w:rPr>
                <w:rFonts w:ascii="Arial Narrow" w:eastAsia="Times New Roman" w:hAnsi="Arial Narrow" w:cs="Arial"/>
                <w:sz w:val="20"/>
                <w:szCs w:val="20"/>
                <w:lang w:val="en-US"/>
              </w:rPr>
            </w:pPr>
          </w:p>
        </w:tc>
      </w:tr>
      <w:tr w:rsidR="00925CB8" w:rsidRPr="00925CB8" w14:paraId="2BA6576E" w14:textId="77777777" w:rsidTr="00961C48">
        <w:trPr>
          <w:trHeight w:val="243"/>
          <w:jc w:val="right"/>
        </w:trPr>
        <w:tc>
          <w:tcPr>
            <w:tcW w:w="257" w:type="dxa"/>
            <w:vAlign w:val="center"/>
          </w:tcPr>
          <w:p w14:paraId="219DDDC8" w14:textId="77777777" w:rsidR="00E33F1E" w:rsidRPr="00925CB8" w:rsidRDefault="00E33F1E" w:rsidP="00E33F1E">
            <w:pPr>
              <w:suppressAutoHyphens/>
              <w:snapToGrid w:val="0"/>
              <w:spacing w:after="0" w:line="240" w:lineRule="auto"/>
              <w:ind w:hanging="107"/>
              <w:jc w:val="right"/>
              <w:rPr>
                <w:rFonts w:ascii="Arial Narrow" w:eastAsia="Times New Roman" w:hAnsi="Arial Narrow" w:cs="Arial"/>
                <w:bCs/>
                <w:sz w:val="20"/>
                <w:szCs w:val="20"/>
                <w:lang w:val="en-US" w:eastAsia="ar-SA"/>
              </w:rPr>
            </w:pPr>
          </w:p>
        </w:tc>
        <w:tc>
          <w:tcPr>
            <w:tcW w:w="3433" w:type="dxa"/>
            <w:vAlign w:val="center"/>
            <w:hideMark/>
          </w:tcPr>
          <w:p w14:paraId="405206F7" w14:textId="77777777" w:rsidR="00E33F1E" w:rsidRPr="00925CB8"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Personnel services</w:t>
            </w:r>
          </w:p>
        </w:tc>
        <w:tc>
          <w:tcPr>
            <w:tcW w:w="1701" w:type="dxa"/>
            <w:vAlign w:val="bottom"/>
          </w:tcPr>
          <w:p w14:paraId="25E20C3F" w14:textId="77777777" w:rsidR="00E33F1E" w:rsidRPr="00925CB8" w:rsidRDefault="002A6743" w:rsidP="00E33F1E">
            <w:pPr>
              <w:spacing w:after="0"/>
              <w:ind w:left="-110" w:right="-100"/>
              <w:jc w:val="right"/>
              <w:rPr>
                <w:rFonts w:ascii="Arial Narrow" w:hAnsi="Arial Narrow"/>
                <w:sz w:val="20"/>
                <w:szCs w:val="20"/>
              </w:rPr>
            </w:pPr>
            <w:r w:rsidRPr="00925CB8">
              <w:rPr>
                <w:rFonts w:ascii="Arial Narrow" w:hAnsi="Arial Narrow"/>
                <w:sz w:val="20"/>
                <w:szCs w:val="20"/>
              </w:rPr>
              <w:t>1,984,531,000.00</w:t>
            </w:r>
          </w:p>
        </w:tc>
        <w:tc>
          <w:tcPr>
            <w:tcW w:w="1559" w:type="dxa"/>
            <w:vAlign w:val="bottom"/>
          </w:tcPr>
          <w:p w14:paraId="6BFC908B" w14:textId="77777777" w:rsidR="00E33F1E" w:rsidRPr="00925CB8" w:rsidRDefault="002A6743" w:rsidP="00E33F1E">
            <w:pPr>
              <w:spacing w:after="0"/>
              <w:ind w:right="-100"/>
              <w:jc w:val="right"/>
              <w:rPr>
                <w:rFonts w:ascii="Arial Narrow" w:hAnsi="Arial Narrow" w:cs="Arial"/>
                <w:sz w:val="20"/>
                <w:szCs w:val="20"/>
              </w:rPr>
            </w:pPr>
            <w:r w:rsidRPr="00925CB8">
              <w:rPr>
                <w:rFonts w:ascii="Arial Narrow" w:hAnsi="Arial Narrow" w:cs="Arial"/>
                <w:sz w:val="20"/>
                <w:szCs w:val="20"/>
              </w:rPr>
              <w:t>1,100,383,361.00</w:t>
            </w:r>
          </w:p>
        </w:tc>
        <w:tc>
          <w:tcPr>
            <w:tcW w:w="1701" w:type="dxa"/>
            <w:vAlign w:val="bottom"/>
          </w:tcPr>
          <w:p w14:paraId="53422586" w14:textId="77777777" w:rsidR="00E33F1E" w:rsidRPr="00925CB8" w:rsidRDefault="002A6743" w:rsidP="00E33F1E">
            <w:pPr>
              <w:spacing w:after="0"/>
              <w:ind w:right="-90"/>
              <w:jc w:val="right"/>
              <w:rPr>
                <w:rFonts w:ascii="Arial Narrow" w:hAnsi="Arial Narrow"/>
                <w:sz w:val="20"/>
                <w:szCs w:val="20"/>
              </w:rPr>
            </w:pPr>
            <w:r w:rsidRPr="00925CB8">
              <w:rPr>
                <w:rFonts w:ascii="Arial Narrow" w:hAnsi="Arial Narrow"/>
                <w:sz w:val="20"/>
                <w:szCs w:val="20"/>
              </w:rPr>
              <w:t>884,147,639.00</w:t>
            </w:r>
          </w:p>
        </w:tc>
      </w:tr>
      <w:tr w:rsidR="00925CB8" w:rsidRPr="00925CB8" w14:paraId="4C065B8D" w14:textId="77777777" w:rsidTr="00961C48">
        <w:trPr>
          <w:trHeight w:val="80"/>
          <w:jc w:val="right"/>
        </w:trPr>
        <w:tc>
          <w:tcPr>
            <w:tcW w:w="257" w:type="dxa"/>
            <w:vAlign w:val="bottom"/>
          </w:tcPr>
          <w:p w14:paraId="2774D0F5" w14:textId="77777777" w:rsidR="00E33F1E" w:rsidRPr="00925CB8"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433" w:type="dxa"/>
            <w:vAlign w:val="bottom"/>
            <w:hideMark/>
          </w:tcPr>
          <w:p w14:paraId="4781111C" w14:textId="77777777" w:rsidR="00E33F1E" w:rsidRPr="00925CB8"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Maintenance and other operating expenses</w:t>
            </w:r>
          </w:p>
        </w:tc>
        <w:tc>
          <w:tcPr>
            <w:tcW w:w="1701" w:type="dxa"/>
            <w:vAlign w:val="bottom"/>
          </w:tcPr>
          <w:p w14:paraId="3D7A2B4D" w14:textId="77777777" w:rsidR="00E33F1E" w:rsidRPr="00925CB8" w:rsidRDefault="002A6743" w:rsidP="00E33F1E">
            <w:pPr>
              <w:spacing w:after="0"/>
              <w:ind w:left="-110" w:right="-100"/>
              <w:jc w:val="right"/>
              <w:rPr>
                <w:rFonts w:ascii="Arial Narrow" w:hAnsi="Arial Narrow"/>
                <w:sz w:val="20"/>
                <w:szCs w:val="20"/>
              </w:rPr>
            </w:pPr>
            <w:r w:rsidRPr="00925CB8">
              <w:rPr>
                <w:rFonts w:ascii="Arial Narrow" w:hAnsi="Arial Narrow"/>
                <w:sz w:val="20"/>
                <w:szCs w:val="20"/>
              </w:rPr>
              <w:t>4,278,795,000.00</w:t>
            </w:r>
          </w:p>
        </w:tc>
        <w:tc>
          <w:tcPr>
            <w:tcW w:w="1559" w:type="dxa"/>
            <w:vAlign w:val="bottom"/>
          </w:tcPr>
          <w:p w14:paraId="12DBF16E" w14:textId="77777777" w:rsidR="00E33F1E" w:rsidRPr="00925CB8" w:rsidRDefault="002A6743" w:rsidP="00E33F1E">
            <w:pPr>
              <w:spacing w:after="0"/>
              <w:ind w:right="-100"/>
              <w:jc w:val="right"/>
              <w:rPr>
                <w:rFonts w:ascii="Arial Narrow" w:hAnsi="Arial Narrow" w:cs="Arial"/>
                <w:sz w:val="20"/>
                <w:szCs w:val="20"/>
              </w:rPr>
            </w:pPr>
            <w:r w:rsidRPr="00925CB8">
              <w:rPr>
                <w:rFonts w:ascii="Arial Narrow" w:hAnsi="Arial Narrow" w:cs="Arial"/>
                <w:sz w:val="20"/>
                <w:szCs w:val="20"/>
              </w:rPr>
              <w:t>5,967,612,845.00</w:t>
            </w:r>
          </w:p>
        </w:tc>
        <w:tc>
          <w:tcPr>
            <w:tcW w:w="1701" w:type="dxa"/>
            <w:vAlign w:val="bottom"/>
          </w:tcPr>
          <w:p w14:paraId="1AC9D53E" w14:textId="77777777" w:rsidR="00E33F1E" w:rsidRPr="00925CB8" w:rsidRDefault="002A6743" w:rsidP="00E33F1E">
            <w:pPr>
              <w:spacing w:after="0"/>
              <w:ind w:right="-90"/>
              <w:jc w:val="right"/>
              <w:rPr>
                <w:rFonts w:ascii="Arial Narrow" w:hAnsi="Arial Narrow"/>
                <w:sz w:val="20"/>
                <w:szCs w:val="20"/>
              </w:rPr>
            </w:pPr>
            <w:r w:rsidRPr="00925CB8">
              <w:rPr>
                <w:rFonts w:ascii="Arial Narrow" w:hAnsi="Arial Narrow"/>
                <w:sz w:val="20"/>
                <w:szCs w:val="20"/>
              </w:rPr>
              <w:t>(1,688,817,845.00)</w:t>
            </w:r>
          </w:p>
        </w:tc>
      </w:tr>
      <w:tr w:rsidR="00925CB8" w:rsidRPr="00925CB8" w14:paraId="02E7DF39" w14:textId="77777777" w:rsidTr="009841CB">
        <w:trPr>
          <w:trHeight w:val="207"/>
          <w:jc w:val="right"/>
        </w:trPr>
        <w:tc>
          <w:tcPr>
            <w:tcW w:w="257" w:type="dxa"/>
            <w:vAlign w:val="center"/>
          </w:tcPr>
          <w:p w14:paraId="2AF31A9F" w14:textId="77777777" w:rsidR="00E33F1E" w:rsidRPr="00925CB8"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433" w:type="dxa"/>
            <w:vAlign w:val="center"/>
            <w:hideMark/>
          </w:tcPr>
          <w:p w14:paraId="4B511CE7" w14:textId="77777777" w:rsidR="00E33F1E" w:rsidRPr="00925CB8"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Capital outlays</w:t>
            </w:r>
          </w:p>
        </w:tc>
        <w:tc>
          <w:tcPr>
            <w:tcW w:w="1701" w:type="dxa"/>
            <w:vAlign w:val="bottom"/>
          </w:tcPr>
          <w:p w14:paraId="01CEAD47" w14:textId="77777777" w:rsidR="00E33F1E" w:rsidRPr="00925CB8" w:rsidRDefault="002A6743" w:rsidP="00E33F1E">
            <w:pPr>
              <w:spacing w:after="0"/>
              <w:ind w:left="-110" w:right="-100"/>
              <w:jc w:val="right"/>
              <w:rPr>
                <w:rFonts w:ascii="Arial Narrow" w:hAnsi="Arial Narrow"/>
                <w:sz w:val="20"/>
                <w:szCs w:val="20"/>
              </w:rPr>
            </w:pPr>
            <w:r w:rsidRPr="00925CB8">
              <w:rPr>
                <w:rFonts w:ascii="Arial Narrow" w:hAnsi="Arial Narrow"/>
                <w:sz w:val="20"/>
                <w:szCs w:val="20"/>
              </w:rPr>
              <w:t>3,792,911,000.00</w:t>
            </w:r>
          </w:p>
        </w:tc>
        <w:tc>
          <w:tcPr>
            <w:tcW w:w="1559" w:type="dxa"/>
            <w:vAlign w:val="bottom"/>
          </w:tcPr>
          <w:p w14:paraId="70DA2AB9" w14:textId="77777777" w:rsidR="00E33F1E" w:rsidRPr="00925CB8" w:rsidRDefault="002A6743" w:rsidP="00E33F1E">
            <w:pPr>
              <w:spacing w:after="0"/>
              <w:ind w:right="-100"/>
              <w:jc w:val="right"/>
              <w:rPr>
                <w:rFonts w:ascii="Arial Narrow" w:hAnsi="Arial Narrow" w:cs="Arial"/>
                <w:sz w:val="20"/>
                <w:szCs w:val="20"/>
              </w:rPr>
            </w:pPr>
            <w:r w:rsidRPr="00925CB8">
              <w:rPr>
                <w:rFonts w:ascii="Arial Narrow" w:hAnsi="Arial Narrow" w:cs="Arial"/>
                <w:sz w:val="20"/>
                <w:szCs w:val="20"/>
              </w:rPr>
              <w:t>102,667,553.38</w:t>
            </w:r>
          </w:p>
        </w:tc>
        <w:tc>
          <w:tcPr>
            <w:tcW w:w="1701" w:type="dxa"/>
            <w:vAlign w:val="bottom"/>
          </w:tcPr>
          <w:p w14:paraId="7CA5E24F" w14:textId="77777777" w:rsidR="00E33F1E" w:rsidRPr="00925CB8" w:rsidRDefault="002A6743" w:rsidP="00E33F1E">
            <w:pPr>
              <w:spacing w:after="0" w:line="240" w:lineRule="auto"/>
              <w:ind w:right="-90"/>
              <w:jc w:val="right"/>
              <w:rPr>
                <w:rFonts w:ascii="Arial Narrow" w:hAnsi="Arial Narrow" w:cs="Arial"/>
                <w:sz w:val="20"/>
                <w:szCs w:val="20"/>
                <w:lang w:val="en-US"/>
              </w:rPr>
            </w:pPr>
            <w:r w:rsidRPr="00925CB8">
              <w:rPr>
                <w:rFonts w:ascii="Arial Narrow" w:hAnsi="Arial Narrow" w:cs="Arial"/>
                <w:sz w:val="20"/>
                <w:szCs w:val="20"/>
                <w:lang w:val="en-US"/>
              </w:rPr>
              <w:t>3,690,243,446.62</w:t>
            </w:r>
          </w:p>
        </w:tc>
      </w:tr>
      <w:tr w:rsidR="00925CB8" w:rsidRPr="00925CB8" w14:paraId="4DCDC4BE" w14:textId="77777777" w:rsidTr="009841CB">
        <w:trPr>
          <w:trHeight w:val="180"/>
          <w:jc w:val="right"/>
        </w:trPr>
        <w:tc>
          <w:tcPr>
            <w:tcW w:w="3690" w:type="dxa"/>
            <w:gridSpan w:val="2"/>
            <w:vAlign w:val="center"/>
            <w:hideMark/>
          </w:tcPr>
          <w:p w14:paraId="146B3E30" w14:textId="77777777" w:rsidR="00B4130A" w:rsidRPr="00925CB8" w:rsidRDefault="00B4130A">
            <w:pPr>
              <w:suppressAutoHyphens/>
              <w:snapToGrid w:val="0"/>
              <w:spacing w:after="0" w:line="240" w:lineRule="auto"/>
              <w:ind w:hanging="107"/>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Charity Fund</w:t>
            </w:r>
          </w:p>
        </w:tc>
        <w:tc>
          <w:tcPr>
            <w:tcW w:w="1701" w:type="dxa"/>
            <w:vAlign w:val="bottom"/>
          </w:tcPr>
          <w:p w14:paraId="713D7EEB" w14:textId="77777777" w:rsidR="00B4130A" w:rsidRPr="00925CB8" w:rsidRDefault="00B4130A">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14:paraId="5F3AF927" w14:textId="77777777" w:rsidR="00B4130A" w:rsidRPr="00925CB8" w:rsidRDefault="00B4130A">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14:paraId="747529B4" w14:textId="77777777" w:rsidR="00B4130A" w:rsidRPr="00925CB8" w:rsidRDefault="00B4130A">
            <w:pPr>
              <w:spacing w:after="0" w:line="240" w:lineRule="auto"/>
              <w:ind w:right="-90"/>
              <w:jc w:val="right"/>
              <w:rPr>
                <w:rFonts w:ascii="Arial Narrow" w:hAnsi="Arial Narrow" w:cs="Arial"/>
                <w:sz w:val="20"/>
                <w:szCs w:val="20"/>
                <w:lang w:val="en-US"/>
              </w:rPr>
            </w:pPr>
          </w:p>
        </w:tc>
      </w:tr>
      <w:tr w:rsidR="00925CB8" w:rsidRPr="00925CB8" w14:paraId="0096D5B2" w14:textId="77777777" w:rsidTr="009841CB">
        <w:trPr>
          <w:trHeight w:val="153"/>
          <w:jc w:val="right"/>
        </w:trPr>
        <w:tc>
          <w:tcPr>
            <w:tcW w:w="257" w:type="dxa"/>
            <w:vAlign w:val="center"/>
          </w:tcPr>
          <w:p w14:paraId="6A018BA8" w14:textId="77777777" w:rsidR="00E33F1E" w:rsidRPr="00925CB8" w:rsidRDefault="00E33F1E" w:rsidP="00E33F1E">
            <w:pPr>
              <w:suppressAutoHyphens/>
              <w:snapToGrid w:val="0"/>
              <w:spacing w:after="0" w:line="240" w:lineRule="auto"/>
              <w:ind w:hanging="107"/>
              <w:rPr>
                <w:rFonts w:ascii="Arial Narrow" w:eastAsia="Times New Roman" w:hAnsi="Arial Narrow" w:cs="Arial"/>
                <w:bCs/>
                <w:sz w:val="20"/>
                <w:szCs w:val="20"/>
                <w:lang w:val="en-US" w:eastAsia="ar-SA"/>
              </w:rPr>
            </w:pPr>
          </w:p>
        </w:tc>
        <w:tc>
          <w:tcPr>
            <w:tcW w:w="3433" w:type="dxa"/>
            <w:vAlign w:val="center"/>
            <w:hideMark/>
          </w:tcPr>
          <w:p w14:paraId="585795AE" w14:textId="77777777" w:rsidR="00E33F1E" w:rsidRPr="00925CB8"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Maintenance and other operating expenses</w:t>
            </w:r>
          </w:p>
        </w:tc>
        <w:tc>
          <w:tcPr>
            <w:tcW w:w="1701" w:type="dxa"/>
            <w:vAlign w:val="bottom"/>
          </w:tcPr>
          <w:p w14:paraId="33161266" w14:textId="77777777" w:rsidR="00E33F1E" w:rsidRPr="00925CB8" w:rsidRDefault="002A6743" w:rsidP="00E33F1E">
            <w:pPr>
              <w:spacing w:after="0"/>
              <w:ind w:left="-110" w:right="-100"/>
              <w:jc w:val="right"/>
              <w:rPr>
                <w:rFonts w:ascii="Arial Narrow" w:hAnsi="Arial Narrow"/>
                <w:sz w:val="20"/>
                <w:szCs w:val="20"/>
              </w:rPr>
            </w:pPr>
            <w:r w:rsidRPr="00925CB8">
              <w:rPr>
                <w:rFonts w:ascii="Arial Narrow" w:hAnsi="Arial Narrow"/>
                <w:sz w:val="20"/>
                <w:szCs w:val="20"/>
              </w:rPr>
              <w:t>18,149,484,000.00</w:t>
            </w:r>
          </w:p>
        </w:tc>
        <w:tc>
          <w:tcPr>
            <w:tcW w:w="1559" w:type="dxa"/>
            <w:vAlign w:val="bottom"/>
          </w:tcPr>
          <w:p w14:paraId="70CC92E4" w14:textId="77777777" w:rsidR="00E33F1E" w:rsidRPr="00925CB8" w:rsidRDefault="002A6743" w:rsidP="00E33F1E">
            <w:pPr>
              <w:spacing w:after="0"/>
              <w:ind w:right="-100"/>
              <w:jc w:val="right"/>
              <w:rPr>
                <w:rFonts w:ascii="Arial Narrow" w:hAnsi="Arial Narrow"/>
                <w:sz w:val="20"/>
                <w:szCs w:val="20"/>
              </w:rPr>
            </w:pPr>
            <w:r w:rsidRPr="00925CB8">
              <w:rPr>
                <w:rFonts w:ascii="Arial Narrow" w:hAnsi="Arial Narrow"/>
                <w:sz w:val="20"/>
                <w:szCs w:val="20"/>
              </w:rPr>
              <w:t>18,037,965,691.00</w:t>
            </w:r>
          </w:p>
        </w:tc>
        <w:tc>
          <w:tcPr>
            <w:tcW w:w="1701" w:type="dxa"/>
            <w:vAlign w:val="bottom"/>
          </w:tcPr>
          <w:p w14:paraId="732C2BBD" w14:textId="77777777" w:rsidR="00E33F1E" w:rsidRPr="00925CB8" w:rsidRDefault="002A6743" w:rsidP="00E33F1E">
            <w:pPr>
              <w:spacing w:after="0" w:line="240" w:lineRule="auto"/>
              <w:ind w:right="-90"/>
              <w:jc w:val="right"/>
              <w:rPr>
                <w:rFonts w:ascii="Arial Narrow" w:hAnsi="Arial Narrow"/>
                <w:sz w:val="20"/>
                <w:szCs w:val="20"/>
                <w:lang w:val="en-US"/>
              </w:rPr>
            </w:pPr>
            <w:r w:rsidRPr="00925CB8">
              <w:rPr>
                <w:rFonts w:ascii="Arial Narrow" w:hAnsi="Arial Narrow"/>
                <w:sz w:val="20"/>
                <w:szCs w:val="20"/>
                <w:lang w:val="en-US"/>
              </w:rPr>
              <w:t>111,518,309.00</w:t>
            </w:r>
          </w:p>
        </w:tc>
      </w:tr>
      <w:tr w:rsidR="00925CB8" w:rsidRPr="00925CB8" w14:paraId="5C72066B" w14:textId="77777777" w:rsidTr="009841CB">
        <w:trPr>
          <w:trHeight w:val="162"/>
          <w:jc w:val="right"/>
        </w:trPr>
        <w:tc>
          <w:tcPr>
            <w:tcW w:w="3690" w:type="dxa"/>
            <w:gridSpan w:val="2"/>
            <w:vAlign w:val="center"/>
            <w:hideMark/>
          </w:tcPr>
          <w:p w14:paraId="3590ADA9" w14:textId="77777777" w:rsidR="00B4130A" w:rsidRPr="00925CB8" w:rsidRDefault="00B4130A">
            <w:pPr>
              <w:suppressAutoHyphens/>
              <w:snapToGrid w:val="0"/>
              <w:spacing w:after="0" w:line="240" w:lineRule="auto"/>
              <w:ind w:hanging="107"/>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Prize Fund</w:t>
            </w:r>
          </w:p>
        </w:tc>
        <w:tc>
          <w:tcPr>
            <w:tcW w:w="1701" w:type="dxa"/>
            <w:vAlign w:val="bottom"/>
          </w:tcPr>
          <w:p w14:paraId="0A62F561" w14:textId="77777777" w:rsidR="00B4130A" w:rsidRPr="00925CB8" w:rsidRDefault="00B4130A">
            <w:pPr>
              <w:suppressAutoHyphens/>
              <w:snapToGrid w:val="0"/>
              <w:spacing w:after="0" w:line="240" w:lineRule="auto"/>
              <w:ind w:left="-110" w:right="-100"/>
              <w:jc w:val="right"/>
              <w:rPr>
                <w:rFonts w:ascii="Arial Narrow" w:eastAsia="Times New Roman" w:hAnsi="Arial Narrow" w:cs="Arial"/>
                <w:bCs/>
                <w:sz w:val="20"/>
                <w:szCs w:val="20"/>
                <w:lang w:val="en-US" w:eastAsia="ar-SA"/>
              </w:rPr>
            </w:pPr>
          </w:p>
        </w:tc>
        <w:tc>
          <w:tcPr>
            <w:tcW w:w="1559" w:type="dxa"/>
            <w:vAlign w:val="bottom"/>
          </w:tcPr>
          <w:p w14:paraId="116C4609" w14:textId="77777777" w:rsidR="00B4130A" w:rsidRPr="00925CB8" w:rsidRDefault="00B4130A">
            <w:pPr>
              <w:suppressAutoHyphens/>
              <w:snapToGrid w:val="0"/>
              <w:spacing w:after="0" w:line="240" w:lineRule="auto"/>
              <w:ind w:right="-100"/>
              <w:jc w:val="right"/>
              <w:rPr>
                <w:rFonts w:ascii="Arial Narrow" w:eastAsia="Times New Roman" w:hAnsi="Arial Narrow" w:cs="Arial"/>
                <w:bCs/>
                <w:sz w:val="20"/>
                <w:szCs w:val="20"/>
                <w:lang w:val="en-US" w:eastAsia="ar-SA"/>
              </w:rPr>
            </w:pPr>
          </w:p>
        </w:tc>
        <w:tc>
          <w:tcPr>
            <w:tcW w:w="1701" w:type="dxa"/>
            <w:vAlign w:val="bottom"/>
          </w:tcPr>
          <w:p w14:paraId="01C778CD" w14:textId="77777777" w:rsidR="00B4130A" w:rsidRPr="00925CB8" w:rsidRDefault="00B4130A">
            <w:pPr>
              <w:spacing w:after="0" w:line="240" w:lineRule="auto"/>
              <w:ind w:right="-90"/>
              <w:jc w:val="right"/>
              <w:rPr>
                <w:rFonts w:ascii="Arial Narrow" w:hAnsi="Arial Narrow" w:cs="Arial"/>
                <w:sz w:val="20"/>
                <w:szCs w:val="20"/>
                <w:lang w:val="en-US"/>
              </w:rPr>
            </w:pPr>
          </w:p>
        </w:tc>
      </w:tr>
      <w:tr w:rsidR="00925CB8" w:rsidRPr="00925CB8" w14:paraId="59B0B291" w14:textId="77777777" w:rsidTr="009841CB">
        <w:trPr>
          <w:trHeight w:val="99"/>
          <w:jc w:val="right"/>
        </w:trPr>
        <w:tc>
          <w:tcPr>
            <w:tcW w:w="257" w:type="dxa"/>
            <w:vAlign w:val="center"/>
          </w:tcPr>
          <w:p w14:paraId="1D6D2EB0" w14:textId="77777777" w:rsidR="00E33F1E" w:rsidRPr="00925CB8" w:rsidRDefault="00E33F1E" w:rsidP="00E33F1E">
            <w:pPr>
              <w:suppressAutoHyphens/>
              <w:snapToGrid w:val="0"/>
              <w:spacing w:after="0" w:line="240" w:lineRule="auto"/>
              <w:rPr>
                <w:rFonts w:ascii="Arial Narrow" w:eastAsia="Times New Roman" w:hAnsi="Arial Narrow" w:cs="Arial"/>
                <w:bCs/>
                <w:sz w:val="20"/>
                <w:szCs w:val="20"/>
                <w:lang w:val="en-US" w:eastAsia="ar-SA"/>
              </w:rPr>
            </w:pPr>
          </w:p>
        </w:tc>
        <w:tc>
          <w:tcPr>
            <w:tcW w:w="3433" w:type="dxa"/>
            <w:vAlign w:val="center"/>
            <w:hideMark/>
          </w:tcPr>
          <w:p w14:paraId="00A4CB11" w14:textId="77777777" w:rsidR="00E33F1E" w:rsidRPr="00925CB8" w:rsidRDefault="00E33F1E" w:rsidP="00E33F1E">
            <w:pPr>
              <w:suppressAutoHyphens/>
              <w:snapToGrid w:val="0"/>
              <w:spacing w:after="0" w:line="240" w:lineRule="auto"/>
              <w:ind w:left="202" w:hanging="28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Maintenance and other operating expenses</w:t>
            </w:r>
          </w:p>
        </w:tc>
        <w:tc>
          <w:tcPr>
            <w:tcW w:w="1701" w:type="dxa"/>
            <w:vAlign w:val="bottom"/>
          </w:tcPr>
          <w:p w14:paraId="4D0EF656" w14:textId="77777777" w:rsidR="00E33F1E" w:rsidRPr="00925CB8" w:rsidRDefault="002A6743" w:rsidP="00E33F1E">
            <w:pPr>
              <w:spacing w:after="0"/>
              <w:ind w:left="-110" w:right="-100"/>
              <w:jc w:val="right"/>
              <w:rPr>
                <w:rFonts w:ascii="Arial Narrow" w:hAnsi="Arial Narrow"/>
                <w:sz w:val="20"/>
                <w:szCs w:val="20"/>
              </w:rPr>
            </w:pPr>
            <w:r w:rsidRPr="00925CB8">
              <w:rPr>
                <w:rFonts w:ascii="Arial Narrow" w:hAnsi="Arial Narrow"/>
                <w:sz w:val="20"/>
                <w:szCs w:val="20"/>
              </w:rPr>
              <w:t>28,690,720,000.00</w:t>
            </w:r>
          </w:p>
        </w:tc>
        <w:tc>
          <w:tcPr>
            <w:tcW w:w="1559" w:type="dxa"/>
            <w:vAlign w:val="bottom"/>
          </w:tcPr>
          <w:p w14:paraId="520D0CB2" w14:textId="77777777" w:rsidR="00E33F1E" w:rsidRPr="00925CB8" w:rsidRDefault="002A6743" w:rsidP="00E33F1E">
            <w:pPr>
              <w:spacing w:after="0"/>
              <w:ind w:right="-100"/>
              <w:jc w:val="right"/>
              <w:rPr>
                <w:rFonts w:ascii="Arial Narrow" w:hAnsi="Arial Narrow"/>
                <w:sz w:val="20"/>
                <w:szCs w:val="20"/>
              </w:rPr>
            </w:pPr>
            <w:r w:rsidRPr="00925CB8">
              <w:rPr>
                <w:rFonts w:ascii="Arial Narrow" w:hAnsi="Arial Narrow"/>
                <w:sz w:val="20"/>
                <w:szCs w:val="20"/>
              </w:rPr>
              <w:t>33,111,521,295.00</w:t>
            </w:r>
          </w:p>
        </w:tc>
        <w:tc>
          <w:tcPr>
            <w:tcW w:w="1701" w:type="dxa"/>
            <w:vAlign w:val="bottom"/>
          </w:tcPr>
          <w:p w14:paraId="59ACEA98" w14:textId="77777777" w:rsidR="00E33F1E" w:rsidRPr="00925CB8" w:rsidRDefault="002A6743" w:rsidP="00E33F1E">
            <w:pPr>
              <w:spacing w:after="0" w:line="240" w:lineRule="auto"/>
              <w:ind w:right="-90"/>
              <w:jc w:val="right"/>
              <w:rPr>
                <w:rFonts w:ascii="Arial Narrow" w:hAnsi="Arial Narrow"/>
                <w:sz w:val="20"/>
                <w:szCs w:val="20"/>
                <w:lang w:val="en-US"/>
              </w:rPr>
            </w:pPr>
            <w:r w:rsidRPr="00925CB8">
              <w:rPr>
                <w:rFonts w:ascii="Arial Narrow" w:hAnsi="Arial Narrow"/>
                <w:sz w:val="20"/>
                <w:szCs w:val="20"/>
                <w:lang w:val="en-US"/>
              </w:rPr>
              <w:t>(4,420,801,295.00)</w:t>
            </w:r>
          </w:p>
        </w:tc>
      </w:tr>
      <w:tr w:rsidR="00925CB8" w:rsidRPr="00925CB8" w14:paraId="232184AF" w14:textId="77777777" w:rsidTr="009841CB">
        <w:trPr>
          <w:trHeight w:val="99"/>
          <w:jc w:val="right"/>
        </w:trPr>
        <w:tc>
          <w:tcPr>
            <w:tcW w:w="257" w:type="dxa"/>
            <w:tcBorders>
              <w:top w:val="nil"/>
              <w:left w:val="nil"/>
              <w:bottom w:val="single" w:sz="4" w:space="0" w:color="auto"/>
              <w:right w:val="nil"/>
            </w:tcBorders>
            <w:vAlign w:val="center"/>
          </w:tcPr>
          <w:p w14:paraId="6ABF4D59" w14:textId="77777777" w:rsidR="00BC1814" w:rsidRPr="00925CB8" w:rsidRDefault="00BC1814" w:rsidP="00BC1814">
            <w:pPr>
              <w:suppressAutoHyphens/>
              <w:snapToGrid w:val="0"/>
              <w:spacing w:after="0" w:line="240" w:lineRule="auto"/>
              <w:rPr>
                <w:rFonts w:ascii="Arial Narrow" w:eastAsia="Times New Roman" w:hAnsi="Arial Narrow" w:cs="Arial"/>
                <w:bCs/>
                <w:sz w:val="20"/>
                <w:szCs w:val="20"/>
                <w:lang w:val="en-US" w:eastAsia="ar-SA"/>
              </w:rPr>
            </w:pPr>
          </w:p>
        </w:tc>
        <w:tc>
          <w:tcPr>
            <w:tcW w:w="3433" w:type="dxa"/>
            <w:tcBorders>
              <w:top w:val="nil"/>
              <w:left w:val="nil"/>
              <w:bottom w:val="single" w:sz="4" w:space="0" w:color="auto"/>
              <w:right w:val="nil"/>
            </w:tcBorders>
            <w:vAlign w:val="center"/>
            <w:hideMark/>
          </w:tcPr>
          <w:p w14:paraId="48074605" w14:textId="77777777" w:rsidR="00BC1814" w:rsidRPr="00925CB8" w:rsidRDefault="00BC1814" w:rsidP="00BC1814">
            <w:pPr>
              <w:suppressAutoHyphens/>
              <w:snapToGrid w:val="0"/>
              <w:spacing w:after="0" w:line="240" w:lineRule="auto"/>
              <w:ind w:left="202" w:hanging="283"/>
              <w:rPr>
                <w:rFonts w:ascii="Arial Narrow" w:eastAsia="Times New Roman" w:hAnsi="Arial Narrow" w:cs="Arial"/>
                <w:bCs/>
                <w:sz w:val="20"/>
                <w:szCs w:val="20"/>
                <w:lang w:val="en-US" w:eastAsia="ar-SA"/>
              </w:rPr>
            </w:pPr>
            <w:r w:rsidRPr="00925CB8">
              <w:rPr>
                <w:rFonts w:ascii="Arial Narrow" w:eastAsia="Times New Roman" w:hAnsi="Arial Narrow" w:cs="Arial"/>
                <w:bCs/>
                <w:sz w:val="20"/>
                <w:szCs w:val="20"/>
                <w:lang w:val="en-US" w:eastAsia="ar-SA"/>
              </w:rPr>
              <w:t>Others (dividend)</w:t>
            </w:r>
          </w:p>
        </w:tc>
        <w:tc>
          <w:tcPr>
            <w:tcW w:w="1701" w:type="dxa"/>
            <w:tcBorders>
              <w:top w:val="nil"/>
              <w:left w:val="nil"/>
              <w:bottom w:val="single" w:sz="4" w:space="0" w:color="auto"/>
              <w:right w:val="nil"/>
            </w:tcBorders>
            <w:vAlign w:val="bottom"/>
          </w:tcPr>
          <w:p w14:paraId="5A15FCDD" w14:textId="77777777" w:rsidR="00BC1814" w:rsidRPr="00925CB8" w:rsidRDefault="002A6743" w:rsidP="00BC1814">
            <w:pPr>
              <w:spacing w:after="0"/>
              <w:ind w:left="-110" w:right="-100"/>
              <w:jc w:val="right"/>
              <w:rPr>
                <w:rFonts w:ascii="Arial Narrow" w:hAnsi="Arial Narrow"/>
                <w:sz w:val="20"/>
                <w:szCs w:val="20"/>
              </w:rPr>
            </w:pPr>
            <w:r w:rsidRPr="00925CB8">
              <w:rPr>
                <w:rFonts w:ascii="Arial Narrow" w:hAnsi="Arial Narrow"/>
                <w:sz w:val="20"/>
                <w:szCs w:val="20"/>
              </w:rPr>
              <w:t>780,707,000.00</w:t>
            </w:r>
          </w:p>
        </w:tc>
        <w:tc>
          <w:tcPr>
            <w:tcW w:w="1559" w:type="dxa"/>
            <w:tcBorders>
              <w:top w:val="nil"/>
              <w:left w:val="nil"/>
              <w:bottom w:val="single" w:sz="4" w:space="0" w:color="auto"/>
              <w:right w:val="nil"/>
            </w:tcBorders>
            <w:vAlign w:val="bottom"/>
          </w:tcPr>
          <w:p w14:paraId="18929C54" w14:textId="77777777" w:rsidR="00BC1814" w:rsidRPr="00925CB8" w:rsidRDefault="002A6743" w:rsidP="00BC1814">
            <w:pPr>
              <w:spacing w:after="0"/>
              <w:ind w:right="-100"/>
              <w:jc w:val="right"/>
              <w:rPr>
                <w:rFonts w:ascii="Arial Narrow" w:hAnsi="Arial Narrow"/>
                <w:sz w:val="20"/>
                <w:szCs w:val="20"/>
              </w:rPr>
            </w:pPr>
            <w:r w:rsidRPr="00925CB8">
              <w:rPr>
                <w:rFonts w:ascii="Arial Narrow" w:hAnsi="Arial Narrow"/>
                <w:sz w:val="20"/>
                <w:szCs w:val="20"/>
              </w:rPr>
              <w:t>2,539,400,300.00</w:t>
            </w:r>
          </w:p>
        </w:tc>
        <w:tc>
          <w:tcPr>
            <w:tcW w:w="1701" w:type="dxa"/>
            <w:tcBorders>
              <w:top w:val="nil"/>
              <w:left w:val="nil"/>
              <w:bottom w:val="single" w:sz="4" w:space="0" w:color="auto"/>
              <w:right w:val="nil"/>
            </w:tcBorders>
            <w:vAlign w:val="bottom"/>
          </w:tcPr>
          <w:p w14:paraId="4B840786" w14:textId="77777777" w:rsidR="00BC1814" w:rsidRPr="00925CB8" w:rsidRDefault="002A6743" w:rsidP="00BC1814">
            <w:pPr>
              <w:spacing w:after="0" w:line="240" w:lineRule="auto"/>
              <w:ind w:right="-90"/>
              <w:jc w:val="right"/>
              <w:rPr>
                <w:rFonts w:ascii="Arial Narrow" w:hAnsi="Arial Narrow"/>
                <w:sz w:val="20"/>
                <w:szCs w:val="20"/>
                <w:lang w:val="en-US"/>
              </w:rPr>
            </w:pPr>
            <w:r w:rsidRPr="00925CB8">
              <w:rPr>
                <w:rFonts w:ascii="Arial Narrow" w:hAnsi="Arial Narrow"/>
                <w:sz w:val="20"/>
                <w:szCs w:val="20"/>
                <w:lang w:val="en-US"/>
              </w:rPr>
              <w:t>(1,758,693,300.00)</w:t>
            </w:r>
          </w:p>
        </w:tc>
      </w:tr>
      <w:tr w:rsidR="00925CB8" w:rsidRPr="00925CB8" w14:paraId="79821231" w14:textId="77777777" w:rsidTr="009841CB">
        <w:trPr>
          <w:trHeight w:val="71"/>
          <w:jc w:val="right"/>
        </w:trPr>
        <w:tc>
          <w:tcPr>
            <w:tcW w:w="3690" w:type="dxa"/>
            <w:gridSpan w:val="2"/>
            <w:tcBorders>
              <w:top w:val="single" w:sz="4" w:space="0" w:color="auto"/>
              <w:left w:val="nil"/>
              <w:bottom w:val="double" w:sz="4" w:space="0" w:color="auto"/>
              <w:right w:val="nil"/>
            </w:tcBorders>
            <w:vAlign w:val="center"/>
            <w:hideMark/>
          </w:tcPr>
          <w:p w14:paraId="57EC01B8" w14:textId="77777777" w:rsidR="00BC1814" w:rsidRPr="00925CB8" w:rsidRDefault="00BC1814" w:rsidP="00BC1814">
            <w:pPr>
              <w:spacing w:after="0" w:line="240" w:lineRule="auto"/>
              <w:ind w:hanging="107"/>
              <w:rPr>
                <w:rFonts w:ascii="Arial Narrow" w:eastAsia="Times New Roman" w:hAnsi="Arial Narrow" w:cs="Arial"/>
                <w:b/>
                <w:sz w:val="20"/>
                <w:szCs w:val="20"/>
                <w:lang w:val="en-US"/>
              </w:rPr>
            </w:pPr>
            <w:r w:rsidRPr="00925CB8">
              <w:rPr>
                <w:rFonts w:ascii="Arial Narrow" w:eastAsia="Times New Roman" w:hAnsi="Arial Narrow" w:cs="Arial"/>
                <w:b/>
                <w:sz w:val="20"/>
                <w:szCs w:val="20"/>
                <w:lang w:val="en-US"/>
              </w:rPr>
              <w:t>Total</w:t>
            </w:r>
          </w:p>
        </w:tc>
        <w:tc>
          <w:tcPr>
            <w:tcW w:w="1701" w:type="dxa"/>
            <w:tcBorders>
              <w:top w:val="single" w:sz="4" w:space="0" w:color="auto"/>
              <w:left w:val="nil"/>
              <w:bottom w:val="double" w:sz="4" w:space="0" w:color="auto"/>
              <w:right w:val="nil"/>
            </w:tcBorders>
            <w:vAlign w:val="center"/>
          </w:tcPr>
          <w:p w14:paraId="140AC903" w14:textId="2397E6F6" w:rsidR="00BC1814" w:rsidRPr="00925CB8" w:rsidRDefault="002A6743" w:rsidP="00A600B8">
            <w:pPr>
              <w:spacing w:after="0"/>
              <w:ind w:left="-110" w:right="-100"/>
              <w:jc w:val="right"/>
              <w:rPr>
                <w:rFonts w:ascii="Arial Narrow" w:hAnsi="Arial Narrow"/>
                <w:b/>
                <w:bCs/>
                <w:sz w:val="20"/>
                <w:szCs w:val="20"/>
              </w:rPr>
            </w:pPr>
            <w:r w:rsidRPr="00925CB8">
              <w:rPr>
                <w:rFonts w:ascii="Arial Narrow" w:hAnsi="Arial Narrow"/>
                <w:b/>
                <w:bCs/>
                <w:sz w:val="20"/>
                <w:szCs w:val="20"/>
              </w:rPr>
              <w:t>57,</w:t>
            </w:r>
            <w:r w:rsidR="0002278C" w:rsidRPr="00925CB8">
              <w:rPr>
                <w:rFonts w:ascii="Arial Narrow" w:hAnsi="Arial Narrow"/>
                <w:b/>
                <w:bCs/>
                <w:sz w:val="20"/>
                <w:szCs w:val="20"/>
              </w:rPr>
              <w:t>6</w:t>
            </w:r>
            <w:r w:rsidR="0002278C">
              <w:rPr>
                <w:rFonts w:ascii="Arial Narrow" w:hAnsi="Arial Narrow"/>
                <w:b/>
                <w:bCs/>
                <w:sz w:val="20"/>
                <w:szCs w:val="20"/>
              </w:rPr>
              <w:t>7</w:t>
            </w:r>
            <w:r w:rsidR="0002278C" w:rsidRPr="00925CB8">
              <w:rPr>
                <w:rFonts w:ascii="Arial Narrow" w:hAnsi="Arial Narrow"/>
                <w:b/>
                <w:bCs/>
                <w:sz w:val="20"/>
                <w:szCs w:val="20"/>
              </w:rPr>
              <w:t>7</w:t>
            </w:r>
            <w:r w:rsidRPr="00925CB8">
              <w:rPr>
                <w:rFonts w:ascii="Arial Narrow" w:hAnsi="Arial Narrow"/>
                <w:b/>
                <w:bCs/>
                <w:sz w:val="20"/>
                <w:szCs w:val="20"/>
              </w:rPr>
              <w:t>,148,000</w:t>
            </w:r>
            <w:r w:rsidR="00883C09" w:rsidRPr="00925CB8">
              <w:rPr>
                <w:rFonts w:ascii="Arial Narrow" w:hAnsi="Arial Narrow"/>
                <w:b/>
                <w:bCs/>
                <w:sz w:val="20"/>
                <w:szCs w:val="20"/>
              </w:rPr>
              <w:t>.00</w:t>
            </w:r>
          </w:p>
        </w:tc>
        <w:tc>
          <w:tcPr>
            <w:tcW w:w="1559" w:type="dxa"/>
            <w:tcBorders>
              <w:top w:val="single" w:sz="4" w:space="0" w:color="auto"/>
              <w:left w:val="nil"/>
              <w:bottom w:val="double" w:sz="4" w:space="0" w:color="auto"/>
              <w:right w:val="nil"/>
            </w:tcBorders>
            <w:vAlign w:val="center"/>
          </w:tcPr>
          <w:p w14:paraId="7CCE3168" w14:textId="77777777" w:rsidR="00BC1814" w:rsidRPr="00925CB8" w:rsidRDefault="002A6743" w:rsidP="00BC1814">
            <w:pPr>
              <w:spacing w:after="0"/>
              <w:ind w:right="-100"/>
              <w:jc w:val="right"/>
              <w:rPr>
                <w:rFonts w:ascii="Arial Narrow" w:hAnsi="Arial Narrow"/>
                <w:b/>
                <w:bCs/>
                <w:sz w:val="20"/>
                <w:szCs w:val="20"/>
              </w:rPr>
            </w:pPr>
            <w:r w:rsidRPr="00925CB8">
              <w:rPr>
                <w:rFonts w:ascii="Arial Narrow" w:hAnsi="Arial Narrow"/>
                <w:b/>
                <w:bCs/>
                <w:sz w:val="20"/>
                <w:szCs w:val="20"/>
              </w:rPr>
              <w:t>60,859,551,045.38</w:t>
            </w:r>
          </w:p>
        </w:tc>
        <w:tc>
          <w:tcPr>
            <w:tcW w:w="1701" w:type="dxa"/>
            <w:tcBorders>
              <w:top w:val="single" w:sz="4" w:space="0" w:color="auto"/>
              <w:left w:val="nil"/>
              <w:bottom w:val="double" w:sz="4" w:space="0" w:color="auto"/>
              <w:right w:val="nil"/>
            </w:tcBorders>
            <w:vAlign w:val="center"/>
          </w:tcPr>
          <w:p w14:paraId="0D4A6143" w14:textId="77777777" w:rsidR="00BC1814" w:rsidRPr="00925CB8" w:rsidRDefault="002A6743" w:rsidP="00BC1814">
            <w:pPr>
              <w:spacing w:after="0" w:line="240" w:lineRule="auto"/>
              <w:ind w:right="-90"/>
              <w:jc w:val="right"/>
              <w:rPr>
                <w:rFonts w:ascii="Arial Narrow" w:hAnsi="Arial Narrow"/>
                <w:b/>
                <w:bCs/>
                <w:sz w:val="20"/>
                <w:szCs w:val="20"/>
                <w:lang w:val="en-US"/>
              </w:rPr>
            </w:pPr>
            <w:r w:rsidRPr="00925CB8">
              <w:rPr>
                <w:rFonts w:ascii="Arial Narrow" w:hAnsi="Arial Narrow"/>
                <w:b/>
                <w:bCs/>
                <w:sz w:val="20"/>
                <w:szCs w:val="20"/>
                <w:lang w:val="en-US"/>
              </w:rPr>
              <w:t>(3,182,403,045.38)</w:t>
            </w:r>
          </w:p>
        </w:tc>
      </w:tr>
    </w:tbl>
    <w:p w14:paraId="0E00CD40" w14:textId="77777777" w:rsidR="00B4130A" w:rsidRPr="00925CB8" w:rsidRDefault="00B4130A" w:rsidP="00B4130A">
      <w:pPr>
        <w:spacing w:after="0" w:line="240" w:lineRule="auto"/>
        <w:jc w:val="both"/>
        <w:rPr>
          <w:rFonts w:ascii="Arial" w:hAnsi="Arial" w:cs="Arial"/>
          <w:b/>
          <w:i/>
          <w:sz w:val="18"/>
          <w:szCs w:val="18"/>
        </w:rPr>
      </w:pPr>
      <w:r w:rsidRPr="00925CB8">
        <w:rPr>
          <w:rFonts w:ascii="Arial Narrow" w:hAnsi="Arial Narrow"/>
          <w:i/>
          <w:sz w:val="18"/>
          <w:szCs w:val="18"/>
        </w:rPr>
        <w:t>Note: Charity Fund MOOE includes Financial Expense and Financial Assistance/Subsidy/Contribution</w:t>
      </w:r>
    </w:p>
    <w:p w14:paraId="4FCED602" w14:textId="77777777" w:rsidR="00B4130A" w:rsidRPr="00925CB8" w:rsidRDefault="00B4130A" w:rsidP="00B4130A">
      <w:pPr>
        <w:spacing w:after="0" w:line="240" w:lineRule="auto"/>
        <w:jc w:val="both"/>
        <w:rPr>
          <w:rFonts w:ascii="Arial" w:hAnsi="Arial" w:cs="Arial"/>
          <w:b/>
          <w:sz w:val="18"/>
          <w:szCs w:val="18"/>
        </w:rPr>
      </w:pPr>
    </w:p>
    <w:p w14:paraId="4CF4E8B0" w14:textId="77777777" w:rsidR="00B4130A" w:rsidRPr="00925CB8" w:rsidRDefault="00B4130A" w:rsidP="00B4130A">
      <w:pPr>
        <w:spacing w:after="0" w:line="240" w:lineRule="auto"/>
        <w:jc w:val="both"/>
        <w:rPr>
          <w:rFonts w:ascii="Arial" w:hAnsi="Arial" w:cs="Arial"/>
          <w:b/>
          <w:sz w:val="18"/>
          <w:szCs w:val="18"/>
        </w:rPr>
      </w:pPr>
    </w:p>
    <w:p w14:paraId="6A8F793C" w14:textId="77777777" w:rsidR="0084620C" w:rsidRPr="00925CB8" w:rsidRDefault="0084620C" w:rsidP="00B4130A">
      <w:pPr>
        <w:spacing w:after="0" w:line="240" w:lineRule="auto"/>
        <w:jc w:val="both"/>
        <w:rPr>
          <w:rFonts w:ascii="Arial" w:hAnsi="Arial" w:cs="Arial"/>
          <w:b/>
          <w:sz w:val="18"/>
          <w:szCs w:val="18"/>
        </w:rPr>
      </w:pPr>
    </w:p>
    <w:p w14:paraId="1D2ACFB6" w14:textId="77777777" w:rsidR="00B4130A" w:rsidRPr="00925CB8" w:rsidRDefault="00B4130A" w:rsidP="00414AB0">
      <w:pPr>
        <w:keepNext/>
        <w:spacing w:after="0" w:line="240" w:lineRule="auto"/>
        <w:jc w:val="both"/>
        <w:rPr>
          <w:rFonts w:ascii="Arial" w:hAnsi="Arial" w:cs="Arial"/>
          <w:b/>
        </w:rPr>
      </w:pPr>
      <w:r w:rsidRPr="00925CB8">
        <w:rPr>
          <w:rFonts w:ascii="Arial" w:hAnsi="Arial" w:cs="Arial"/>
          <w:b/>
        </w:rPr>
        <w:lastRenderedPageBreak/>
        <w:t>SCOPE OF AUDIT</w:t>
      </w:r>
    </w:p>
    <w:p w14:paraId="0E6F3596" w14:textId="77777777" w:rsidR="00B4130A" w:rsidRPr="00925CB8" w:rsidRDefault="00B4130A" w:rsidP="00414AB0">
      <w:pPr>
        <w:keepNext/>
        <w:spacing w:after="0" w:line="240" w:lineRule="auto"/>
        <w:jc w:val="both"/>
        <w:rPr>
          <w:rFonts w:ascii="Arial" w:eastAsia="Times New Roman" w:hAnsi="Arial" w:cs="Arial"/>
          <w:lang w:val="en-US"/>
        </w:rPr>
      </w:pPr>
    </w:p>
    <w:p w14:paraId="5B67855F" w14:textId="77777777" w:rsidR="00B4130A" w:rsidRPr="00925CB8" w:rsidRDefault="00B4130A" w:rsidP="00414AB0">
      <w:pPr>
        <w:keepNext/>
        <w:spacing w:after="0" w:line="240" w:lineRule="auto"/>
        <w:jc w:val="both"/>
        <w:rPr>
          <w:rFonts w:ascii="Arial" w:eastAsia="Times New Roman" w:hAnsi="Arial" w:cs="Arial"/>
          <w:lang w:val="en-US"/>
        </w:rPr>
      </w:pPr>
      <w:r w:rsidRPr="00925CB8">
        <w:rPr>
          <w:rFonts w:ascii="Arial" w:eastAsia="Times New Roman" w:hAnsi="Arial" w:cs="Arial"/>
          <w:lang w:val="en-US"/>
        </w:rPr>
        <w:t>The audit covered the examination, on a test basis, of the accounts, transactions and operations of the PCSO to enable us to express an opinion on the financial statements for t</w:t>
      </w:r>
      <w:r w:rsidR="00E4107C" w:rsidRPr="00925CB8">
        <w:rPr>
          <w:rFonts w:ascii="Arial" w:eastAsia="Times New Roman" w:hAnsi="Arial" w:cs="Arial"/>
          <w:lang w:val="en-US"/>
        </w:rPr>
        <w:t>he years ended December 31, 2023</w:t>
      </w:r>
      <w:r w:rsidRPr="00925CB8">
        <w:rPr>
          <w:rFonts w:ascii="Arial" w:eastAsia="Times New Roman" w:hAnsi="Arial" w:cs="Arial"/>
          <w:lang w:val="en-US"/>
        </w:rPr>
        <w:t xml:space="preserve"> and 20</w:t>
      </w:r>
      <w:r w:rsidR="00E4107C" w:rsidRPr="00925CB8">
        <w:rPr>
          <w:rFonts w:ascii="Arial" w:eastAsia="Times New Roman" w:hAnsi="Arial" w:cs="Arial"/>
          <w:lang w:val="en-US"/>
        </w:rPr>
        <w:t>2</w:t>
      </w:r>
      <w:r w:rsidR="00320D6B" w:rsidRPr="00925CB8">
        <w:rPr>
          <w:rFonts w:ascii="Arial" w:eastAsia="Times New Roman" w:hAnsi="Arial" w:cs="Arial"/>
          <w:lang w:val="en-US"/>
        </w:rPr>
        <w:t>2</w:t>
      </w:r>
      <w:r w:rsidRPr="00925CB8">
        <w:rPr>
          <w:rFonts w:ascii="Arial" w:eastAsia="Times New Roman" w:hAnsi="Arial" w:cs="Arial"/>
          <w:lang w:val="en-US"/>
        </w:rPr>
        <w:t xml:space="preserve"> in accordance with International Standards of Supreme Audit Institutions (ISSAIs).  It was</w:t>
      </w:r>
      <w:r w:rsidR="00B05021" w:rsidRPr="00925CB8">
        <w:rPr>
          <w:rFonts w:ascii="Arial" w:eastAsia="Times New Roman" w:hAnsi="Arial" w:cs="Arial"/>
          <w:lang w:val="en-US"/>
        </w:rPr>
        <w:t xml:space="preserve"> also conducted to determine</w:t>
      </w:r>
      <w:r w:rsidRPr="00925CB8">
        <w:rPr>
          <w:rFonts w:ascii="Arial" w:eastAsia="Times New Roman" w:hAnsi="Arial" w:cs="Arial"/>
          <w:lang w:val="en-US"/>
        </w:rPr>
        <w:t xml:space="preserve"> </w:t>
      </w:r>
      <w:r w:rsidR="00615761" w:rsidRPr="00925CB8">
        <w:rPr>
          <w:rFonts w:ascii="Arial" w:eastAsia="Times New Roman" w:hAnsi="Arial" w:cs="Arial"/>
          <w:lang w:val="en-US"/>
        </w:rPr>
        <w:t xml:space="preserve">the </w:t>
      </w:r>
      <w:r w:rsidRPr="00925CB8">
        <w:rPr>
          <w:rFonts w:ascii="Arial" w:eastAsia="Times New Roman" w:hAnsi="Arial" w:cs="Arial"/>
          <w:lang w:val="en-US"/>
        </w:rPr>
        <w:t xml:space="preserve">PCSO’s compliance with pertinent laws, rules and regulations and adherence to prescribed policies and procedures. </w:t>
      </w:r>
    </w:p>
    <w:p w14:paraId="2D746B19" w14:textId="77777777" w:rsidR="00B4130A" w:rsidRPr="00925CB8" w:rsidRDefault="00B4130A" w:rsidP="00B4130A">
      <w:pPr>
        <w:spacing w:after="0" w:line="240" w:lineRule="auto"/>
        <w:ind w:left="360"/>
        <w:jc w:val="both"/>
        <w:rPr>
          <w:rFonts w:ascii="Arial" w:hAnsi="Arial" w:cs="Arial"/>
          <w:sz w:val="18"/>
          <w:szCs w:val="18"/>
        </w:rPr>
      </w:pPr>
    </w:p>
    <w:p w14:paraId="663D72E6" w14:textId="77777777" w:rsidR="00B4130A" w:rsidRPr="00925CB8" w:rsidRDefault="00B4130A" w:rsidP="00B4130A">
      <w:pPr>
        <w:spacing w:after="0" w:line="240" w:lineRule="auto"/>
        <w:ind w:left="360"/>
        <w:jc w:val="both"/>
        <w:rPr>
          <w:rFonts w:ascii="Arial" w:hAnsi="Arial" w:cs="Arial"/>
          <w:sz w:val="18"/>
          <w:szCs w:val="18"/>
        </w:rPr>
      </w:pPr>
    </w:p>
    <w:p w14:paraId="5E6DD312" w14:textId="77777777" w:rsidR="00B4130A" w:rsidRPr="00925CB8" w:rsidRDefault="00B4130A" w:rsidP="00B4130A">
      <w:pPr>
        <w:spacing w:after="0" w:line="240" w:lineRule="auto"/>
        <w:jc w:val="both"/>
        <w:rPr>
          <w:rFonts w:ascii="Arial" w:hAnsi="Arial" w:cs="Arial"/>
          <w:b/>
        </w:rPr>
      </w:pPr>
      <w:r w:rsidRPr="00925CB8">
        <w:rPr>
          <w:rFonts w:ascii="Arial" w:hAnsi="Arial" w:cs="Arial"/>
          <w:b/>
        </w:rPr>
        <w:t>INDEPENDENT AUDITOR’S REPORT ON THE FINANCIAL STATEMENTS</w:t>
      </w:r>
    </w:p>
    <w:p w14:paraId="36473A7F" w14:textId="77777777" w:rsidR="00B4130A" w:rsidRPr="00925CB8" w:rsidRDefault="00B4130A" w:rsidP="00B4130A">
      <w:pPr>
        <w:spacing w:after="0" w:line="240" w:lineRule="auto"/>
        <w:jc w:val="both"/>
        <w:rPr>
          <w:rFonts w:ascii="Arial" w:hAnsi="Arial" w:cs="Arial"/>
          <w:sz w:val="18"/>
          <w:szCs w:val="18"/>
        </w:rPr>
      </w:pPr>
    </w:p>
    <w:p w14:paraId="659BF59F" w14:textId="77777777" w:rsidR="00B4130A" w:rsidRPr="00925CB8" w:rsidRDefault="00B4130A" w:rsidP="00B4130A">
      <w:pPr>
        <w:spacing w:after="0" w:line="240" w:lineRule="auto"/>
        <w:jc w:val="both"/>
        <w:rPr>
          <w:rFonts w:ascii="Arial" w:eastAsia="Arial" w:hAnsi="Arial" w:cs="Arial"/>
        </w:rPr>
      </w:pPr>
      <w:r w:rsidRPr="00925CB8">
        <w:rPr>
          <w:rFonts w:ascii="Arial" w:eastAsia="Arial" w:hAnsi="Arial" w:cs="Arial"/>
        </w:rPr>
        <w:t>We rendered a qualified opinion on the fairness of presentation of the financial statements of the PCSO in view of the following:</w:t>
      </w:r>
    </w:p>
    <w:p w14:paraId="2B2ACCA6" w14:textId="77777777" w:rsidR="0076410A" w:rsidRPr="00925CB8" w:rsidRDefault="0076410A" w:rsidP="0076410A">
      <w:pPr>
        <w:spacing w:after="0" w:line="240" w:lineRule="auto"/>
        <w:jc w:val="both"/>
        <w:rPr>
          <w:rFonts w:ascii="Arial" w:hAnsi="Arial" w:cs="Arial"/>
          <w:bCs/>
        </w:rPr>
      </w:pPr>
    </w:p>
    <w:p w14:paraId="4F5B333C" w14:textId="77777777" w:rsidR="00E9534D" w:rsidRDefault="00E9534D" w:rsidP="00414AB0">
      <w:pPr>
        <w:numPr>
          <w:ilvl w:val="0"/>
          <w:numId w:val="2"/>
        </w:numPr>
        <w:spacing w:after="0" w:line="240" w:lineRule="auto"/>
        <w:ind w:left="709" w:hanging="709"/>
        <w:jc w:val="both"/>
        <w:rPr>
          <w:rFonts w:ascii="Arial" w:hAnsi="Arial" w:cs="Arial"/>
          <w:bCs/>
          <w:lang w:val="en-US"/>
        </w:rPr>
      </w:pPr>
      <w:r w:rsidRPr="00414AB0">
        <w:rPr>
          <w:rFonts w:ascii="Arial" w:hAnsi="Arial" w:cs="Arial"/>
          <w:bCs/>
          <w:lang w:val="en-US"/>
        </w:rPr>
        <w:t>The accounts Guaranty Security Deposits Payable-Cash Bond-STL, Accounts Receivable-STL, and Other Deposits-Lotto/Keno/STL Cash Bond were overstated by P847.369 million, P391.050 million and P847.369 million, respectively, and the accounts Cash-in-Bank, Other Business Income-Operating Fund-STL and Retained Earnings were understated by P847.369 million, P456.319 million and P456.319 million, respectively, contrary to Paragraph 15 of Philippine Accounting Standard 1 due to the failure of PCSO to charge the outstanding liabilities of 55 Authorized Agent Corporations (AACs) totaling P391.050 million against their respective cash bond and to forfeit the cash bond of 18 AACs in total amount of P456.319 million in favor of PCSO.</w:t>
      </w:r>
    </w:p>
    <w:p w14:paraId="45B55C8C" w14:textId="71EDEAF2" w:rsidR="00E9534D" w:rsidRPr="00414AB0" w:rsidRDefault="00E9534D" w:rsidP="00414AB0">
      <w:pPr>
        <w:spacing w:after="0" w:line="240" w:lineRule="auto"/>
        <w:ind w:left="709"/>
        <w:jc w:val="both"/>
        <w:rPr>
          <w:rFonts w:ascii="Arial" w:hAnsi="Arial" w:cs="Arial"/>
          <w:bCs/>
          <w:lang w:val="en-US"/>
        </w:rPr>
      </w:pPr>
      <w:r w:rsidRPr="00414AB0">
        <w:rPr>
          <w:rFonts w:ascii="Arial" w:hAnsi="Arial" w:cs="Arial"/>
          <w:bCs/>
          <w:lang w:val="en-US"/>
        </w:rPr>
        <w:t xml:space="preserve"> </w:t>
      </w:r>
    </w:p>
    <w:p w14:paraId="7C9E2B63" w14:textId="54CD173F" w:rsidR="00716615" w:rsidRDefault="001E1134" w:rsidP="00414AB0">
      <w:pPr>
        <w:numPr>
          <w:ilvl w:val="0"/>
          <w:numId w:val="2"/>
        </w:numPr>
        <w:spacing w:after="0" w:line="240" w:lineRule="auto"/>
        <w:ind w:left="705" w:hanging="691"/>
        <w:jc w:val="both"/>
        <w:rPr>
          <w:rFonts w:ascii="Arial" w:hAnsi="Arial" w:cs="Arial"/>
          <w:bCs/>
          <w:iCs/>
          <w:lang w:val="en-US"/>
        </w:rPr>
      </w:pPr>
      <w:r w:rsidRPr="001E1134">
        <w:rPr>
          <w:rFonts w:ascii="Arial" w:hAnsi="Arial" w:cs="Arial"/>
          <w:bCs/>
          <w:lang w:val="en-US"/>
        </w:rPr>
        <w:tab/>
      </w:r>
      <w:r w:rsidR="00A367A8" w:rsidRPr="00414AB0">
        <w:rPr>
          <w:rFonts w:ascii="Arial" w:hAnsi="Arial" w:cs="Arial"/>
          <w:bCs/>
          <w:iCs/>
          <w:lang w:val="en-US"/>
        </w:rPr>
        <w:t>The balance of Prizes-STL-Lower Prize 10,000 and Below expense account for calendar year 2023 totaling P9.910 billion was overstated by P71.394 million due to (a) erroneous recognition of STL Prize Fund expense account on the over remittance of the excess Net Prize Fund (NPF) by Authorized Agent Corporations totaling P22.068 million and (b) understatement of excess NPF recorded by the Accounting and Budget Department totaling P49.326 million; thus, resulting in the understatement of the Retained Earning-Prize Fund, Accounts Receivable and Other Payable account by P71.394 million, P72.057 million and P0.663 million, respectively, contrary to Paragraph 15 of Philippine Accounting Standard 1.</w:t>
      </w:r>
    </w:p>
    <w:p w14:paraId="4170668A" w14:textId="77777777" w:rsidR="00A367A8" w:rsidRPr="00414AB0" w:rsidRDefault="00A367A8" w:rsidP="00414AB0">
      <w:pPr>
        <w:spacing w:after="0" w:line="240" w:lineRule="auto"/>
        <w:ind w:left="705"/>
        <w:jc w:val="both"/>
        <w:rPr>
          <w:rFonts w:ascii="Arial" w:hAnsi="Arial" w:cs="Arial"/>
          <w:bCs/>
          <w:iCs/>
          <w:lang w:val="en-US"/>
        </w:rPr>
      </w:pPr>
    </w:p>
    <w:p w14:paraId="4A5E334C" w14:textId="6AD7CFE0" w:rsidR="00716615" w:rsidRDefault="001E1134" w:rsidP="00414AB0">
      <w:pPr>
        <w:numPr>
          <w:ilvl w:val="0"/>
          <w:numId w:val="2"/>
        </w:numPr>
        <w:spacing w:after="0" w:line="240" w:lineRule="auto"/>
        <w:ind w:left="705" w:hanging="691"/>
        <w:jc w:val="both"/>
        <w:rPr>
          <w:rFonts w:ascii="Arial" w:hAnsi="Arial" w:cs="Arial"/>
          <w:bCs/>
          <w:iCs/>
          <w:lang w:val="en-US"/>
        </w:rPr>
      </w:pPr>
      <w:r w:rsidRPr="001E1134">
        <w:rPr>
          <w:rFonts w:ascii="Arial" w:hAnsi="Arial" w:cs="Arial"/>
          <w:bCs/>
          <w:lang w:val="en-US"/>
        </w:rPr>
        <w:tab/>
      </w:r>
      <w:r w:rsidR="00A367A8" w:rsidRPr="00414AB0">
        <w:rPr>
          <w:rFonts w:ascii="Arial" w:hAnsi="Arial" w:cs="Arial"/>
          <w:bCs/>
          <w:iCs/>
          <w:lang w:val="en-US"/>
        </w:rPr>
        <w:t>The Cash-in-Bank-Prize Fund (PF) account was overstated by P397.591 million and the Cash-in-Bank-Charity Fund (CF) account was understated by  the   same   amount as   of December 31, 2023 due to the delay in the transfer of cash pertaining to forfeited prizes of Lotto and  Keno games from March to December  2023; and, the accounts  Cash-in-Bank-CF and Retained Earnings-CF were  overstated, and the accounts Cash-in-Bank-PF and Accounts Payable-Miscellaneous-PF were understated, each by P10.908 million due to the discrepancy in reporting amount of forfeited prizes between   accounting  records and the Data Center Division for the month of February 2023 by P10.908 million as at December 31, 2023, contrary to Section 6(A) of Republic Act No. 1169, as amended, and Paragraph 15 of the Philippine Accounting Standard 1.</w:t>
      </w:r>
    </w:p>
    <w:p w14:paraId="4D7AC7D6" w14:textId="77777777" w:rsidR="00A367A8" w:rsidRPr="00414AB0" w:rsidRDefault="00A367A8" w:rsidP="00414AB0">
      <w:pPr>
        <w:spacing w:after="0" w:line="240" w:lineRule="auto"/>
        <w:ind w:left="705"/>
        <w:jc w:val="both"/>
        <w:rPr>
          <w:rFonts w:ascii="Arial" w:hAnsi="Arial" w:cs="Arial"/>
          <w:bCs/>
          <w:iCs/>
          <w:lang w:val="en-US"/>
        </w:rPr>
      </w:pPr>
    </w:p>
    <w:p w14:paraId="0888E219" w14:textId="70855845" w:rsidR="004C6F61" w:rsidRDefault="001E1134" w:rsidP="00414AB0">
      <w:pPr>
        <w:numPr>
          <w:ilvl w:val="0"/>
          <w:numId w:val="2"/>
        </w:numPr>
        <w:spacing w:after="0" w:line="240" w:lineRule="auto"/>
        <w:ind w:left="709" w:hanging="697"/>
        <w:jc w:val="both"/>
        <w:rPr>
          <w:rFonts w:ascii="Arial" w:hAnsi="Arial" w:cs="Arial"/>
          <w:bCs/>
          <w:iCs/>
          <w:lang w:val="en-US"/>
        </w:rPr>
      </w:pPr>
      <w:r w:rsidRPr="001E1134">
        <w:rPr>
          <w:rFonts w:ascii="Arial" w:hAnsi="Arial" w:cs="Arial"/>
          <w:bCs/>
          <w:lang w:val="en-US"/>
        </w:rPr>
        <w:tab/>
      </w:r>
      <w:r w:rsidR="00A367A8" w:rsidRPr="00414AB0">
        <w:rPr>
          <w:rFonts w:ascii="Arial" w:hAnsi="Arial" w:cs="Arial"/>
          <w:bCs/>
          <w:iCs/>
          <w:lang w:val="en-US"/>
        </w:rPr>
        <w:t>The fair presentation of the Accounts Payable (AP) totaling P10.052 billion as at December 31, 2023 could not be ascertained due to: (a) Non-maintenance of Subsidiary Ledger for each payee/creditor to support the General Ledger balances of the AP-Miscellaneous accounts amounting to P8.758 billion; (b) Discrepancies between the balances per PCSO books and the supporting schedules of the AP accounts in total amount of P332.399 million; (c) Existence of long outstanding payables in the total amount of P3.367 billion; and (d) Existence of abnormal/debit balances of AP accounts in the total amount of P88.120 million, contrary to Paragraph 15 of the P</w:t>
      </w:r>
      <w:r w:rsidR="0089058E">
        <w:rPr>
          <w:rFonts w:ascii="Arial" w:hAnsi="Arial" w:cs="Arial"/>
          <w:bCs/>
          <w:iCs/>
          <w:lang w:val="en-US"/>
        </w:rPr>
        <w:t>hilippine Accounting Standard 1.</w:t>
      </w:r>
    </w:p>
    <w:p w14:paraId="04FFB6CC" w14:textId="77777777" w:rsidR="00A367A8" w:rsidRPr="00414AB0" w:rsidRDefault="00A367A8" w:rsidP="00414AB0">
      <w:pPr>
        <w:spacing w:after="0" w:line="240" w:lineRule="auto"/>
        <w:ind w:left="709"/>
        <w:jc w:val="both"/>
        <w:rPr>
          <w:rFonts w:ascii="Arial" w:hAnsi="Arial" w:cs="Arial"/>
          <w:bCs/>
          <w:iCs/>
          <w:lang w:val="en-US"/>
        </w:rPr>
      </w:pPr>
    </w:p>
    <w:p w14:paraId="446058D5" w14:textId="37335239" w:rsidR="004C6F61" w:rsidRDefault="00A367A8" w:rsidP="00414AB0">
      <w:pPr>
        <w:numPr>
          <w:ilvl w:val="0"/>
          <w:numId w:val="7"/>
        </w:numPr>
        <w:autoSpaceDE w:val="0"/>
        <w:autoSpaceDN w:val="0"/>
        <w:adjustRightInd w:val="0"/>
        <w:spacing w:after="0" w:line="240" w:lineRule="auto"/>
        <w:ind w:left="720" w:hanging="720"/>
        <w:jc w:val="both"/>
        <w:rPr>
          <w:rFonts w:ascii="Arial" w:hAnsi="Arial" w:cs="Arial"/>
          <w:bCs/>
          <w:lang w:val="en-US"/>
        </w:rPr>
      </w:pPr>
      <w:r w:rsidRPr="00414AB0">
        <w:rPr>
          <w:rFonts w:ascii="Arial" w:hAnsi="Arial" w:cs="Arial"/>
          <w:bCs/>
          <w:lang w:val="en-US"/>
        </w:rPr>
        <w:t>The faithful representation in the financial statements of the balance of the Accounts Receivable (AR) with a carrying amount of P4.298 billion as at December 31, 2023 cannot be ascertained in view of (a) Unreconciled balances of AR in the General Ledger and the Subsidiary Ledger or the Schedule of AR with Aging report amounting to P389.732 million and P(2.389) million, respectively, (b) two (2) AR sub-accounts had abnormal (credit) balances amounting to P(1.610) million, (c) three (3) AR sub-accounts were not provided with allowance for impairment loss and (d) the accounting policy of PCSO on the age classification of outstanding receivables was not uniformly adopted and applied contrary to Paragraph 15 of the Philippine Accounting Standard (PAS) 1, Paragraph 9 of PAS 36 and Paragraph 5.5.15 (a) of the Philippine Financial Reporting Standard 9 on the Expected Credit Loss model.</w:t>
      </w:r>
    </w:p>
    <w:p w14:paraId="46E62D1F" w14:textId="77777777" w:rsidR="00A367A8" w:rsidRPr="00414AB0" w:rsidRDefault="00A367A8" w:rsidP="00414AB0">
      <w:pPr>
        <w:autoSpaceDE w:val="0"/>
        <w:autoSpaceDN w:val="0"/>
        <w:adjustRightInd w:val="0"/>
        <w:spacing w:after="0" w:line="240" w:lineRule="auto"/>
        <w:ind w:left="720"/>
        <w:jc w:val="both"/>
        <w:rPr>
          <w:rFonts w:ascii="Arial" w:hAnsi="Arial" w:cs="Arial"/>
          <w:bCs/>
          <w:lang w:val="en-US"/>
        </w:rPr>
      </w:pPr>
    </w:p>
    <w:p w14:paraId="18BAF8F1" w14:textId="26D63E51" w:rsidR="004C6F61" w:rsidRDefault="001E1134" w:rsidP="00414AB0">
      <w:pPr>
        <w:numPr>
          <w:ilvl w:val="0"/>
          <w:numId w:val="7"/>
        </w:numPr>
        <w:spacing w:after="0" w:line="240" w:lineRule="auto"/>
        <w:ind w:left="709" w:hanging="709"/>
        <w:jc w:val="both"/>
        <w:rPr>
          <w:rFonts w:ascii="Arial" w:hAnsi="Arial" w:cs="Arial"/>
          <w:bCs/>
          <w:shd w:val="clear" w:color="auto" w:fill="FFFFFF"/>
        </w:rPr>
      </w:pPr>
      <w:r w:rsidRPr="001E1134">
        <w:rPr>
          <w:rFonts w:ascii="Arial" w:hAnsi="Arial" w:cs="Arial"/>
          <w:bCs/>
          <w:lang w:val="en-US"/>
        </w:rPr>
        <w:tab/>
      </w:r>
      <w:r w:rsidR="00A367A8" w:rsidRPr="00414AB0">
        <w:rPr>
          <w:rFonts w:ascii="Arial" w:hAnsi="Arial" w:cs="Arial"/>
          <w:bCs/>
          <w:shd w:val="clear" w:color="auto" w:fill="FFFFFF"/>
        </w:rPr>
        <w:t>The faithful representation in the financial statements of the balance of the Property, Plant and Equipment (PPE) account with a carrying amount of P5.859 billion as at December 31, 2023, excluding Land and Other Land Improvements accounts was not established due to unaccounted discrepancy of P130.413 million and P207.396 million, respectively, when compared with the balance per Lapsing Schedules/PPE Ledger Cards and the Report on the Physical Count of PPE of the Head Office and various Branch Offices, thus affecting the fair presentation of the balance of the account in the Financial Statements contrary to Paragraph 15 of the Philippine Accounting Standard 1 and Section 6.3 of COA Circular No. 2020-006 dated January 31, 2021.</w:t>
      </w:r>
    </w:p>
    <w:p w14:paraId="7D886C0A" w14:textId="77777777" w:rsidR="00A367A8" w:rsidRPr="00414AB0" w:rsidRDefault="00A367A8" w:rsidP="00414AB0">
      <w:pPr>
        <w:spacing w:after="0" w:line="240" w:lineRule="auto"/>
        <w:ind w:left="709"/>
        <w:jc w:val="both"/>
        <w:rPr>
          <w:rFonts w:ascii="Arial" w:hAnsi="Arial" w:cs="Arial"/>
          <w:bCs/>
          <w:shd w:val="clear" w:color="auto" w:fill="FFFFFF"/>
        </w:rPr>
      </w:pPr>
    </w:p>
    <w:p w14:paraId="365B673A" w14:textId="669D5A2C" w:rsidR="004C6F61" w:rsidRPr="00414AB0" w:rsidRDefault="00EE154E" w:rsidP="00414AB0">
      <w:pPr>
        <w:numPr>
          <w:ilvl w:val="0"/>
          <w:numId w:val="7"/>
        </w:numPr>
        <w:spacing w:after="0" w:line="240" w:lineRule="auto"/>
        <w:ind w:left="709" w:hanging="709"/>
        <w:jc w:val="both"/>
        <w:rPr>
          <w:rFonts w:ascii="Arial" w:hAnsi="Arial" w:cs="Arial"/>
          <w:bCs/>
          <w:lang w:val="en-US"/>
        </w:rPr>
      </w:pPr>
      <w:r w:rsidRPr="00414AB0">
        <w:rPr>
          <w:rFonts w:ascii="Arial" w:hAnsi="Arial" w:cs="Arial"/>
          <w:bCs/>
          <w:lang w:val="en-US"/>
        </w:rPr>
        <w:t>The validity and accuracy of the reported net sales totaling P80.558 billion for the Calendar Years 2021 to 2023 was not established due to cancelled sales totaling P367.207 million for the same period, which were not validated caused by the inadequate internal control procedures on the accounting, monitoring and validating the canceled sales of lotto tickets.</w:t>
      </w:r>
    </w:p>
    <w:p w14:paraId="238DC9C7" w14:textId="77777777" w:rsidR="00C26D0E" w:rsidRPr="00925CB8" w:rsidRDefault="00C26D0E" w:rsidP="00FE3EBA">
      <w:pPr>
        <w:spacing w:after="0" w:line="240" w:lineRule="auto"/>
        <w:jc w:val="both"/>
        <w:rPr>
          <w:rFonts w:ascii="Arial" w:hAnsi="Arial" w:cs="Arial"/>
          <w:bCs/>
          <w:lang w:val="en-US"/>
        </w:rPr>
      </w:pPr>
    </w:p>
    <w:p w14:paraId="11829C28" w14:textId="77777777" w:rsidR="004C6F61" w:rsidRPr="00925CB8" w:rsidRDefault="004C6F61" w:rsidP="00E20F8F">
      <w:pPr>
        <w:spacing w:after="0" w:line="240" w:lineRule="auto"/>
        <w:jc w:val="both"/>
        <w:rPr>
          <w:rFonts w:ascii="Arial" w:eastAsia="Times New Roman" w:hAnsi="Arial" w:cs="Arial"/>
          <w:bCs/>
          <w:lang w:val="en-US"/>
        </w:rPr>
      </w:pPr>
      <w:r w:rsidRPr="00925CB8">
        <w:rPr>
          <w:rFonts w:ascii="Arial" w:eastAsia="Arial" w:hAnsi="Arial" w:cs="Arial"/>
        </w:rPr>
        <w:t>For the afore-stated observations, we recommended that Management:</w:t>
      </w:r>
    </w:p>
    <w:p w14:paraId="5AAD5B3C" w14:textId="77777777" w:rsidR="004C6F61" w:rsidRPr="00925CB8" w:rsidRDefault="004C6F61" w:rsidP="004C6F61">
      <w:pPr>
        <w:keepNext/>
        <w:keepLines/>
        <w:spacing w:after="0" w:line="240" w:lineRule="auto"/>
        <w:jc w:val="both"/>
        <w:rPr>
          <w:rFonts w:ascii="Arial" w:eastAsia="Times New Roman" w:hAnsi="Arial" w:cs="Arial"/>
          <w:bCs/>
          <w:sz w:val="24"/>
          <w:szCs w:val="24"/>
          <w:lang w:val="en-US"/>
        </w:rPr>
      </w:pPr>
    </w:p>
    <w:p w14:paraId="2D0C34BF" w14:textId="77DFB35F" w:rsidR="000E3602" w:rsidRPr="00414AB0" w:rsidRDefault="00EE154E" w:rsidP="00414AB0">
      <w:pPr>
        <w:keepNext/>
        <w:keepLines/>
        <w:numPr>
          <w:ilvl w:val="1"/>
          <w:numId w:val="3"/>
        </w:numPr>
        <w:spacing w:after="0" w:line="240" w:lineRule="auto"/>
        <w:jc w:val="both"/>
        <w:rPr>
          <w:rFonts w:ascii="Arial" w:hAnsi="Arial" w:cs="Arial"/>
        </w:rPr>
      </w:pPr>
      <w:r w:rsidRPr="00414AB0">
        <w:rPr>
          <w:rFonts w:ascii="Arial" w:hAnsi="Arial" w:cs="Arial"/>
        </w:rPr>
        <w:t xml:space="preserve">Direct the Accounting </w:t>
      </w:r>
      <w:r w:rsidR="000E3602" w:rsidRPr="00414AB0">
        <w:rPr>
          <w:rFonts w:ascii="Arial" w:hAnsi="Arial" w:cs="Arial"/>
        </w:rPr>
        <w:t xml:space="preserve">and </w:t>
      </w:r>
      <w:r w:rsidRPr="00414AB0">
        <w:rPr>
          <w:rFonts w:ascii="Arial" w:hAnsi="Arial" w:cs="Arial"/>
        </w:rPr>
        <w:t>Budget Department (ABD) to</w:t>
      </w:r>
      <w:r w:rsidR="000E3602" w:rsidRPr="00414AB0">
        <w:rPr>
          <w:rFonts w:ascii="Arial" w:hAnsi="Arial" w:cs="Arial"/>
        </w:rPr>
        <w:t xml:space="preserve"> </w:t>
      </w:r>
      <w:r w:rsidRPr="00414AB0">
        <w:rPr>
          <w:rFonts w:ascii="Arial" w:hAnsi="Arial" w:cs="Arial"/>
        </w:rPr>
        <w:t>prepare the necessary entries to correct the overstatement of Guaranty Security Deposits Payable-Cash Bond-STL, Accounts receivable-STL and Other Deposits – Lotto/Keno/STL Cash Bond account by P847.369 million, P391.050 million and P847.369 million, respectively, and understatement of Cash in Bank account and Other Business Income – Operating Fund – STL/Retained Earnings account by P847.369 million and</w:t>
      </w:r>
      <w:r w:rsidR="000E3602" w:rsidRPr="00414AB0">
        <w:rPr>
          <w:rFonts w:ascii="Arial" w:hAnsi="Arial" w:cs="Arial"/>
        </w:rPr>
        <w:t xml:space="preserve"> P456.319 million, respectively.</w:t>
      </w:r>
    </w:p>
    <w:p w14:paraId="4C1A0EDF" w14:textId="77777777" w:rsidR="000E3602" w:rsidRPr="00414AB0" w:rsidRDefault="000E3602" w:rsidP="00414AB0">
      <w:pPr>
        <w:keepNext/>
        <w:keepLines/>
        <w:spacing w:after="0" w:line="240" w:lineRule="auto"/>
        <w:ind w:left="720"/>
        <w:jc w:val="both"/>
        <w:rPr>
          <w:rFonts w:ascii="Arial" w:hAnsi="Arial" w:cs="Arial"/>
        </w:rPr>
      </w:pPr>
    </w:p>
    <w:p w14:paraId="26A00A24" w14:textId="77777777" w:rsidR="004C6F61" w:rsidRPr="00925CB8" w:rsidRDefault="004C6F61" w:rsidP="00DD3B61">
      <w:pPr>
        <w:numPr>
          <w:ilvl w:val="0"/>
          <w:numId w:val="3"/>
        </w:numPr>
        <w:spacing w:after="0" w:line="240" w:lineRule="auto"/>
        <w:jc w:val="both"/>
        <w:rPr>
          <w:rFonts w:ascii="Arial" w:hAnsi="Arial" w:cs="Arial"/>
          <w:vanish/>
          <w:lang w:val="en-US"/>
        </w:rPr>
      </w:pPr>
    </w:p>
    <w:p w14:paraId="1179C952" w14:textId="576CEB13" w:rsidR="004C6F61" w:rsidRPr="00414AB0" w:rsidRDefault="00944E3D" w:rsidP="00414AB0">
      <w:pPr>
        <w:numPr>
          <w:ilvl w:val="1"/>
          <w:numId w:val="3"/>
        </w:numPr>
        <w:spacing w:after="0" w:line="240" w:lineRule="auto"/>
        <w:jc w:val="both"/>
        <w:rPr>
          <w:rFonts w:ascii="Arial" w:hAnsi="Arial" w:cs="Arial"/>
          <w:bCs/>
          <w:lang w:val="en-US"/>
        </w:rPr>
      </w:pPr>
      <w:r>
        <w:rPr>
          <w:rFonts w:ascii="Arial" w:hAnsi="Arial" w:cs="Arial"/>
          <w:bCs/>
          <w:lang w:val="en-US"/>
        </w:rPr>
        <w:t>Direct the ABD personnel to p</w:t>
      </w:r>
      <w:r w:rsidRPr="00414AB0">
        <w:rPr>
          <w:rFonts w:ascii="Arial" w:hAnsi="Arial" w:cs="Arial"/>
          <w:bCs/>
          <w:lang w:val="en-US"/>
        </w:rPr>
        <w:t>repare the necessary adjusting entry</w:t>
      </w:r>
      <w:r>
        <w:rPr>
          <w:rFonts w:ascii="Arial" w:hAnsi="Arial" w:cs="Arial"/>
          <w:bCs/>
          <w:lang w:val="en-US"/>
        </w:rPr>
        <w:t xml:space="preserve"> to correct the balance of the subject accounts</w:t>
      </w:r>
      <w:r w:rsidRPr="00414AB0">
        <w:rPr>
          <w:rFonts w:ascii="Arial" w:hAnsi="Arial" w:cs="Arial"/>
          <w:bCs/>
          <w:lang w:val="en-US"/>
        </w:rPr>
        <w:t xml:space="preserve"> by debiting Accounts Receivable account by P72.057 million, and crediting Retained Earnings-Prize Fund and Other Payable account by P71.394 million and 0.663 million, respectively, and</w:t>
      </w:r>
      <w:r>
        <w:rPr>
          <w:rFonts w:ascii="Arial" w:hAnsi="Arial" w:cs="Arial"/>
          <w:bCs/>
          <w:lang w:val="en-US"/>
        </w:rPr>
        <w:t xml:space="preserve"> ensure that all transactions are properly and completely recorded in the books for fair presentation of the account in compliance with PAS 1.</w:t>
      </w:r>
    </w:p>
    <w:p w14:paraId="23D4EBF9" w14:textId="77777777" w:rsidR="00944E3D" w:rsidRPr="00925CB8" w:rsidRDefault="00944E3D" w:rsidP="00944E3D">
      <w:pPr>
        <w:spacing w:after="0" w:line="240" w:lineRule="auto"/>
        <w:ind w:left="720"/>
        <w:jc w:val="both"/>
        <w:rPr>
          <w:rFonts w:ascii="Arial" w:hAnsi="Arial" w:cs="Arial"/>
          <w:bCs/>
          <w:lang w:val="en-US"/>
        </w:rPr>
      </w:pPr>
    </w:p>
    <w:p w14:paraId="082D10BB" w14:textId="77777777" w:rsidR="004C6F61" w:rsidRPr="00925CB8" w:rsidRDefault="004C6F61" w:rsidP="00DD3B61">
      <w:pPr>
        <w:numPr>
          <w:ilvl w:val="0"/>
          <w:numId w:val="4"/>
        </w:numPr>
        <w:spacing w:after="0" w:line="240" w:lineRule="auto"/>
        <w:jc w:val="both"/>
        <w:rPr>
          <w:rFonts w:ascii="Arial" w:hAnsi="Arial" w:cs="Arial"/>
          <w:vanish/>
          <w:lang w:val="en-US" w:eastAsia="ar-SA"/>
        </w:rPr>
      </w:pPr>
    </w:p>
    <w:p w14:paraId="43E7836A" w14:textId="77777777" w:rsidR="004C6F61" w:rsidRPr="00925CB8" w:rsidRDefault="004C6F61" w:rsidP="00DD3B61">
      <w:pPr>
        <w:numPr>
          <w:ilvl w:val="0"/>
          <w:numId w:val="4"/>
        </w:numPr>
        <w:spacing w:after="0" w:line="240" w:lineRule="auto"/>
        <w:jc w:val="both"/>
        <w:rPr>
          <w:rFonts w:ascii="Arial" w:hAnsi="Arial" w:cs="Arial"/>
          <w:vanish/>
          <w:lang w:val="en-US" w:eastAsia="ar-SA"/>
        </w:rPr>
      </w:pPr>
    </w:p>
    <w:p w14:paraId="40D051D5" w14:textId="4089D74F" w:rsidR="00F31109" w:rsidRPr="00414AB0" w:rsidRDefault="00B14C5E" w:rsidP="00414AB0">
      <w:pPr>
        <w:numPr>
          <w:ilvl w:val="1"/>
          <w:numId w:val="4"/>
        </w:numPr>
        <w:spacing w:after="0" w:line="240" w:lineRule="auto"/>
        <w:ind w:left="720"/>
        <w:jc w:val="both"/>
        <w:rPr>
          <w:rFonts w:ascii="Arial" w:hAnsi="Arial" w:cs="Arial"/>
          <w:i/>
          <w:lang w:val="en-US"/>
        </w:rPr>
      </w:pPr>
      <w:r>
        <w:rPr>
          <w:rFonts w:ascii="Arial" w:hAnsi="Arial" w:cs="Arial"/>
          <w:lang w:val="en-US"/>
        </w:rPr>
        <w:t>D</w:t>
      </w:r>
      <w:r w:rsidR="00F31109" w:rsidRPr="00414AB0">
        <w:rPr>
          <w:rFonts w:ascii="Arial" w:hAnsi="Arial" w:cs="Arial"/>
          <w:lang w:val="en-US"/>
        </w:rPr>
        <w:t xml:space="preserve">irect the </w:t>
      </w:r>
      <w:r>
        <w:rPr>
          <w:rFonts w:ascii="Arial" w:hAnsi="Arial" w:cs="Arial"/>
          <w:lang w:val="en-US"/>
        </w:rPr>
        <w:t xml:space="preserve">Treasury Department to </w:t>
      </w:r>
      <w:r w:rsidRPr="00414AB0">
        <w:rPr>
          <w:rFonts w:ascii="Arial" w:hAnsi="Arial" w:cs="Arial"/>
          <w:lang w:val="en-US"/>
        </w:rPr>
        <w:t xml:space="preserve">transfer cash from CF account to PF account amounting to P10.908 million pertaining to the overstatement of the forfeited prizes </w:t>
      </w:r>
      <w:r>
        <w:rPr>
          <w:rFonts w:ascii="Arial" w:hAnsi="Arial" w:cs="Arial"/>
          <w:lang w:val="en-US"/>
        </w:rPr>
        <w:t xml:space="preserve">and </w:t>
      </w:r>
      <w:r w:rsidR="00F31109" w:rsidRPr="00414AB0">
        <w:rPr>
          <w:rFonts w:ascii="Arial" w:hAnsi="Arial" w:cs="Arial"/>
          <w:lang w:val="en-US"/>
        </w:rPr>
        <w:t>ABD to effect the necessary adjustments in the books to correct the overstatement of the Cash-in-Bank-CF account and RE-CF account both by 10.908 million and the understatement of Cash-in-Bank-PF account and Accounts Payable-Miscellaneous-PF a</w:t>
      </w:r>
      <w:r w:rsidRPr="00414AB0">
        <w:rPr>
          <w:rFonts w:ascii="Arial" w:hAnsi="Arial" w:cs="Arial"/>
          <w:lang w:val="en-US"/>
        </w:rPr>
        <w:t>lso both by P10.908 million.</w:t>
      </w:r>
    </w:p>
    <w:p w14:paraId="260DCC5E" w14:textId="77777777" w:rsidR="00F31109" w:rsidRPr="00414AB0" w:rsidRDefault="00F31109" w:rsidP="00414AB0">
      <w:pPr>
        <w:spacing w:after="0" w:line="240" w:lineRule="auto"/>
        <w:ind w:left="720"/>
        <w:jc w:val="both"/>
        <w:rPr>
          <w:rFonts w:ascii="Arial" w:hAnsi="Arial" w:cs="Arial"/>
          <w:i/>
          <w:lang w:val="en-US"/>
        </w:rPr>
      </w:pPr>
    </w:p>
    <w:p w14:paraId="32BEE26E" w14:textId="77777777" w:rsidR="004C6F61" w:rsidRPr="00925CB8" w:rsidRDefault="004C6F61" w:rsidP="00DD3B61">
      <w:pPr>
        <w:numPr>
          <w:ilvl w:val="0"/>
          <w:numId w:val="5"/>
        </w:numPr>
        <w:spacing w:after="0" w:line="240" w:lineRule="auto"/>
        <w:jc w:val="both"/>
        <w:rPr>
          <w:rFonts w:ascii="Arial" w:hAnsi="Arial" w:cs="Arial"/>
          <w:vanish/>
          <w:lang w:val="en-US"/>
        </w:rPr>
      </w:pPr>
    </w:p>
    <w:p w14:paraId="60016EE6" w14:textId="77777777" w:rsidR="004C6F61" w:rsidRPr="00925CB8" w:rsidRDefault="004C6F61" w:rsidP="00DD3B61">
      <w:pPr>
        <w:numPr>
          <w:ilvl w:val="0"/>
          <w:numId w:val="5"/>
        </w:numPr>
        <w:spacing w:after="0" w:line="240" w:lineRule="auto"/>
        <w:jc w:val="both"/>
        <w:rPr>
          <w:rFonts w:ascii="Arial" w:hAnsi="Arial" w:cs="Arial"/>
          <w:vanish/>
          <w:lang w:val="en-US"/>
        </w:rPr>
      </w:pPr>
    </w:p>
    <w:p w14:paraId="2FEAF855" w14:textId="77777777" w:rsidR="00B14C5E" w:rsidRPr="00414AB0" w:rsidRDefault="00B14C5E" w:rsidP="00DD3B61">
      <w:pPr>
        <w:numPr>
          <w:ilvl w:val="1"/>
          <w:numId w:val="5"/>
        </w:numPr>
        <w:spacing w:after="0" w:line="240" w:lineRule="auto"/>
        <w:ind w:left="720"/>
        <w:jc w:val="both"/>
        <w:rPr>
          <w:rFonts w:ascii="Arial" w:hAnsi="Arial" w:cs="Arial"/>
          <w:vanish/>
          <w:lang w:val="en-US"/>
        </w:rPr>
      </w:pPr>
      <w:r w:rsidRPr="00414AB0">
        <w:rPr>
          <w:rFonts w:ascii="Arial" w:hAnsi="Arial" w:cs="Arial"/>
          <w:bCs/>
          <w:lang w:val="en-US"/>
        </w:rPr>
        <w:t>Direct</w:t>
      </w:r>
      <w:r>
        <w:rPr>
          <w:rFonts w:ascii="Arial" w:hAnsi="Arial" w:cs="Arial"/>
          <w:bCs/>
          <w:lang w:val="en-US"/>
        </w:rPr>
        <w:t xml:space="preserve"> ABD to (a) </w:t>
      </w:r>
      <w:r w:rsidRPr="00414AB0">
        <w:rPr>
          <w:rFonts w:ascii="Arial" w:hAnsi="Arial" w:cs="Arial"/>
          <w:bCs/>
          <w:lang w:val="en-US"/>
        </w:rPr>
        <w:t>Prepare SL per payee/creditor to support the balance of AP-Miscellaneous accounts totaling P8.758 billion and to reflect the correct balance of outstanding payable per payee/creditor;</w:t>
      </w:r>
    </w:p>
    <w:p w14:paraId="32085EB3" w14:textId="7C8C3315" w:rsidR="004C6F61" w:rsidRPr="00414AB0" w:rsidRDefault="004C6F61" w:rsidP="00414AB0">
      <w:pPr>
        <w:spacing w:after="0" w:line="240" w:lineRule="auto"/>
        <w:jc w:val="both"/>
        <w:rPr>
          <w:rFonts w:ascii="Arial" w:hAnsi="Arial" w:cs="Arial"/>
          <w:vanish/>
          <w:lang w:val="en-US"/>
        </w:rPr>
      </w:pPr>
    </w:p>
    <w:p w14:paraId="0625B726" w14:textId="77777777" w:rsidR="004C6F61" w:rsidRPr="00925CB8" w:rsidRDefault="004C6F61" w:rsidP="00DD3B61">
      <w:pPr>
        <w:numPr>
          <w:ilvl w:val="0"/>
          <w:numId w:val="6"/>
        </w:numPr>
        <w:spacing w:after="0" w:line="240" w:lineRule="auto"/>
        <w:jc w:val="both"/>
        <w:rPr>
          <w:rFonts w:ascii="Arial" w:hAnsi="Arial" w:cs="Arial"/>
          <w:vanish/>
          <w:lang w:val="en-US"/>
        </w:rPr>
      </w:pPr>
    </w:p>
    <w:p w14:paraId="6FEFD02B" w14:textId="77777777" w:rsidR="004C6F61" w:rsidRPr="00925CB8" w:rsidRDefault="004C6F61" w:rsidP="00DD3B61">
      <w:pPr>
        <w:numPr>
          <w:ilvl w:val="0"/>
          <w:numId w:val="6"/>
        </w:numPr>
        <w:spacing w:after="0" w:line="240" w:lineRule="auto"/>
        <w:jc w:val="both"/>
        <w:rPr>
          <w:rFonts w:ascii="Arial" w:hAnsi="Arial" w:cs="Arial"/>
          <w:vanish/>
          <w:lang w:val="en-US"/>
        </w:rPr>
      </w:pPr>
    </w:p>
    <w:p w14:paraId="27FD891F" w14:textId="6ACB469A" w:rsidR="00B14C5E" w:rsidRDefault="00B14C5E" w:rsidP="00B14C5E">
      <w:pPr>
        <w:spacing w:after="0" w:line="240" w:lineRule="auto"/>
        <w:jc w:val="both"/>
        <w:rPr>
          <w:rFonts w:ascii="Arial" w:hAnsi="Arial" w:cs="Arial"/>
          <w:bCs/>
          <w:lang w:val="en-US"/>
        </w:rPr>
      </w:pPr>
      <w:r>
        <w:rPr>
          <w:rFonts w:ascii="Arial" w:hAnsi="Arial" w:cs="Arial"/>
          <w:bCs/>
          <w:lang w:val="en-US"/>
        </w:rPr>
        <w:t xml:space="preserve"> (b) A</w:t>
      </w:r>
      <w:r w:rsidRPr="00B14C5E">
        <w:rPr>
          <w:rFonts w:ascii="Arial" w:hAnsi="Arial" w:cs="Arial"/>
          <w:bCs/>
          <w:lang w:val="en-US"/>
        </w:rPr>
        <w:t>nalyze and determine the causes of the discrepancies totaling P332.399 million between the balances of PCSO books and the supporting schedules, and prepare the necessary adjusting entries;</w:t>
      </w:r>
      <w:r>
        <w:rPr>
          <w:rFonts w:ascii="Arial" w:hAnsi="Arial" w:cs="Arial"/>
          <w:bCs/>
          <w:lang w:val="en-US"/>
        </w:rPr>
        <w:t xml:space="preserve">           (c) </w:t>
      </w:r>
      <w:r w:rsidRPr="00B14C5E">
        <w:rPr>
          <w:rFonts w:ascii="Arial" w:hAnsi="Arial" w:cs="Arial"/>
          <w:bCs/>
          <w:lang w:val="en-US"/>
        </w:rPr>
        <w:t>Verify the validity of the long outstanding AP totaling P3.367 billion and prepare the n</w:t>
      </w:r>
      <w:r>
        <w:rPr>
          <w:rFonts w:ascii="Arial" w:hAnsi="Arial" w:cs="Arial"/>
          <w:bCs/>
          <w:lang w:val="en-US"/>
        </w:rPr>
        <w:t xml:space="preserve">ecessary adjusting entries; and (d) </w:t>
      </w:r>
      <w:r w:rsidRPr="00B14C5E">
        <w:rPr>
          <w:rFonts w:ascii="Arial" w:hAnsi="Arial" w:cs="Arial"/>
          <w:bCs/>
          <w:lang w:val="en-US"/>
        </w:rPr>
        <w:t>Analyze the abnormal/debit balances of the AP accounts in total amount of P88.120 million and book up the necessary adjusting entries.</w:t>
      </w:r>
    </w:p>
    <w:p w14:paraId="5E11F7A2" w14:textId="0E7E8D40" w:rsidR="001F282B" w:rsidRPr="00925CB8" w:rsidRDefault="001F282B" w:rsidP="001F282B">
      <w:pPr>
        <w:spacing w:after="0" w:line="240" w:lineRule="auto"/>
        <w:jc w:val="both"/>
        <w:rPr>
          <w:rFonts w:ascii="Arial" w:hAnsi="Arial" w:cs="Arial"/>
          <w:bCs/>
          <w:lang w:val="en-US"/>
        </w:rPr>
      </w:pPr>
      <w:r w:rsidRPr="00925CB8">
        <w:rPr>
          <w:rFonts w:ascii="Arial" w:hAnsi="Arial" w:cs="Arial"/>
          <w:bCs/>
          <w:lang w:val="en-US"/>
        </w:rPr>
        <w:tab/>
      </w:r>
    </w:p>
    <w:p w14:paraId="63586148" w14:textId="2D88619C" w:rsidR="003B7CA5" w:rsidRPr="00414AB0" w:rsidRDefault="00E67A3F" w:rsidP="00414AB0">
      <w:pPr>
        <w:numPr>
          <w:ilvl w:val="1"/>
          <w:numId w:val="6"/>
        </w:numPr>
        <w:spacing w:after="0" w:line="240" w:lineRule="auto"/>
        <w:ind w:left="720"/>
        <w:jc w:val="both"/>
        <w:rPr>
          <w:rFonts w:ascii="Arial" w:hAnsi="Arial" w:cs="Arial"/>
          <w:lang w:val="en-US" w:eastAsia="ar-SA"/>
        </w:rPr>
      </w:pPr>
      <w:r>
        <w:rPr>
          <w:rFonts w:ascii="Arial" w:hAnsi="Arial" w:cs="Arial"/>
          <w:bCs/>
          <w:lang w:val="en-US"/>
        </w:rPr>
        <w:t>Direct the concerned personnel of ABD and Branch Operations Sector to                (a)</w:t>
      </w:r>
      <w:r>
        <w:rPr>
          <w:rFonts w:ascii="Arial" w:hAnsi="Arial" w:cs="Arial"/>
          <w:lang w:val="en-US" w:eastAsia="ar-SA"/>
        </w:rPr>
        <w:t xml:space="preserve"> </w:t>
      </w:r>
      <w:r w:rsidRPr="00414AB0">
        <w:rPr>
          <w:rFonts w:ascii="Arial" w:hAnsi="Arial" w:cs="Arial"/>
          <w:lang w:val="en-US" w:eastAsia="ar-SA"/>
        </w:rPr>
        <w:t>Conduct a thorough examination to determine the causes of the unreconciled balance of P389.732 million and P(2.389) million, respectively, between AR balance per GL and the SL/Schedule of AR with Aging Report and make the necessary adjustments duly supported with reliable financial records;</w:t>
      </w:r>
      <w:r>
        <w:rPr>
          <w:rFonts w:ascii="Arial" w:hAnsi="Arial" w:cs="Arial"/>
          <w:lang w:val="en-US" w:eastAsia="ar-SA"/>
        </w:rPr>
        <w:t xml:space="preserve"> (b) </w:t>
      </w:r>
      <w:r w:rsidRPr="00414AB0">
        <w:rPr>
          <w:rFonts w:ascii="Arial" w:hAnsi="Arial" w:cs="Arial"/>
          <w:bCs/>
          <w:lang w:val="en-US" w:eastAsia="ar-SA"/>
        </w:rPr>
        <w:t>Effect the necessary adjusting entries on the abnormal (credit) balances totaling P1.610 million which pertained to prior years’ errors in posting</w:t>
      </w:r>
      <w:r>
        <w:rPr>
          <w:rFonts w:ascii="Arial" w:hAnsi="Arial" w:cs="Arial"/>
          <w:bCs/>
          <w:lang w:val="en-US" w:eastAsia="ar-SA"/>
        </w:rPr>
        <w:t>; and (c)</w:t>
      </w:r>
      <w:r w:rsidRPr="00E67A3F">
        <w:rPr>
          <w:rFonts w:ascii="Times New Roman" w:eastAsia="Times New Roman" w:hAnsi="Times New Roman"/>
          <w:b/>
          <w:sz w:val="24"/>
          <w:szCs w:val="24"/>
          <w:lang w:val="en-US"/>
        </w:rPr>
        <w:t xml:space="preserve"> </w:t>
      </w:r>
      <w:r w:rsidRPr="00414AB0">
        <w:rPr>
          <w:rFonts w:ascii="Arial" w:hAnsi="Arial" w:cs="Arial"/>
          <w:bCs/>
          <w:lang w:val="en-US" w:eastAsia="ar-SA"/>
        </w:rPr>
        <w:t>Ensure that the allowance for impairment loss on all financial assets that are already past due for two to three years and onwards is provided in compliance with Paragraph 9 of PAS No. 36 and is uniformly adopted and applied by the ABD and BOS, and uniformly adopt the PCSO accounting policy on the age classification of outstanding receivables to ensure reliability in the measurement of impairment loss allowances for financial assets</w:t>
      </w:r>
      <w:r>
        <w:rPr>
          <w:rFonts w:ascii="Arial" w:hAnsi="Arial" w:cs="Arial"/>
          <w:bCs/>
          <w:lang w:val="en-US" w:eastAsia="ar-SA"/>
        </w:rPr>
        <w:t>.</w:t>
      </w:r>
      <w:r w:rsidRPr="00414AB0">
        <w:rPr>
          <w:rFonts w:ascii="Arial" w:hAnsi="Arial" w:cs="Arial"/>
          <w:bCs/>
          <w:lang w:val="en-US" w:eastAsia="ar-SA"/>
        </w:rPr>
        <w:t xml:space="preserve"> </w:t>
      </w:r>
      <w:r w:rsidRPr="00414AB0">
        <w:rPr>
          <w:rFonts w:ascii="Arial" w:hAnsi="Arial" w:cs="Arial"/>
          <w:lang w:val="en-US" w:eastAsia="ar-SA"/>
        </w:rPr>
        <w:t xml:space="preserve"> </w:t>
      </w:r>
    </w:p>
    <w:p w14:paraId="18DA1242" w14:textId="1A282CC1" w:rsidR="00E67A3F" w:rsidRDefault="00E67A3F" w:rsidP="00414AB0">
      <w:pPr>
        <w:spacing w:after="0" w:line="240" w:lineRule="auto"/>
        <w:ind w:left="720"/>
        <w:jc w:val="both"/>
        <w:rPr>
          <w:rFonts w:ascii="Arial" w:hAnsi="Arial" w:cs="Arial"/>
          <w:lang w:val="en-US" w:eastAsia="ar-SA"/>
        </w:rPr>
      </w:pPr>
    </w:p>
    <w:p w14:paraId="5098EB2F" w14:textId="77777777" w:rsidR="004C6F61" w:rsidRPr="00925CB8" w:rsidRDefault="004C6F61" w:rsidP="00DD3B61">
      <w:pPr>
        <w:numPr>
          <w:ilvl w:val="0"/>
          <w:numId w:val="6"/>
        </w:numPr>
        <w:spacing w:after="0" w:line="240" w:lineRule="auto"/>
        <w:jc w:val="both"/>
        <w:rPr>
          <w:rFonts w:ascii="Arial" w:hAnsi="Arial" w:cs="Arial"/>
          <w:bCs/>
          <w:vanish/>
          <w:lang w:val="en-US"/>
        </w:rPr>
      </w:pPr>
    </w:p>
    <w:p w14:paraId="55598490" w14:textId="64155DF5" w:rsidR="00F2372A" w:rsidRDefault="00E67A3F" w:rsidP="00DD3B61">
      <w:pPr>
        <w:numPr>
          <w:ilvl w:val="1"/>
          <w:numId w:val="6"/>
        </w:numPr>
        <w:spacing w:after="0" w:line="240" w:lineRule="auto"/>
        <w:ind w:left="720"/>
        <w:jc w:val="both"/>
        <w:rPr>
          <w:rFonts w:ascii="Arial" w:hAnsi="Arial" w:cs="Arial"/>
          <w:bCs/>
          <w:lang w:val="en-US" w:eastAsia="ar-SA"/>
        </w:rPr>
      </w:pPr>
      <w:r>
        <w:rPr>
          <w:rFonts w:ascii="Arial" w:hAnsi="Arial" w:cs="Arial"/>
          <w:bCs/>
          <w:lang w:val="en-US"/>
        </w:rPr>
        <w:t xml:space="preserve">Direct the concerned ABD personnel to </w:t>
      </w:r>
      <w:r w:rsidR="00F2372A">
        <w:rPr>
          <w:rFonts w:ascii="Arial" w:hAnsi="Arial" w:cs="Arial"/>
          <w:bCs/>
          <w:lang w:val="en-US"/>
        </w:rPr>
        <w:t xml:space="preserve">(a) Conduct an immediate reconciliation of </w:t>
      </w:r>
    </w:p>
    <w:p w14:paraId="65B22E35" w14:textId="2AA7AEA8" w:rsidR="00F2372A" w:rsidRDefault="00F2372A" w:rsidP="00414AB0">
      <w:pPr>
        <w:spacing w:after="0" w:line="240" w:lineRule="auto"/>
        <w:ind w:left="720"/>
        <w:jc w:val="both"/>
        <w:rPr>
          <w:rFonts w:ascii="Arial" w:hAnsi="Arial" w:cs="Arial"/>
          <w:bCs/>
          <w:lang w:val="en-US"/>
        </w:rPr>
      </w:pPr>
      <w:r>
        <w:rPr>
          <w:rFonts w:ascii="Arial" w:hAnsi="Arial" w:cs="Arial"/>
          <w:bCs/>
          <w:lang w:val="en-US"/>
        </w:rPr>
        <w:t xml:space="preserve">Items of PPE per books with the balances in the corresponding lapsing schedules/PPELCs to determine the causes of the discrepancy of P130.413 million as at December 31, 2023; (b) </w:t>
      </w:r>
      <w:r w:rsidRPr="00F2372A">
        <w:rPr>
          <w:rFonts w:ascii="Arial" w:hAnsi="Arial" w:cs="Arial"/>
          <w:bCs/>
          <w:lang w:val="en-US"/>
        </w:rPr>
        <w:t>Coordinate with the concerned ASMD personnel and conduct immediate reconciliation of the balances of the items of PPE per books with the balances per RPCPPE as at December 31, 2023 in order to determine the causes of the discrepancy of P207.396 million and conduct an investigation considering the balance per book is greater than actual physical count which may indicate missing items of PPE</w:t>
      </w:r>
      <w:r>
        <w:rPr>
          <w:rFonts w:ascii="Arial" w:hAnsi="Arial" w:cs="Arial"/>
          <w:bCs/>
          <w:lang w:val="en-US"/>
        </w:rPr>
        <w:t xml:space="preserve">; and (c) </w:t>
      </w:r>
      <w:r w:rsidRPr="00F2372A">
        <w:rPr>
          <w:rFonts w:ascii="Arial" w:hAnsi="Arial" w:cs="Arial"/>
          <w:bCs/>
          <w:lang w:val="en-US"/>
        </w:rPr>
        <w:t>Effect the necessary adjustments in the books or corrections in the lapsing schedule and RPCPPE to arrive at reconciled balances</w:t>
      </w:r>
      <w:r>
        <w:rPr>
          <w:rFonts w:ascii="Arial" w:hAnsi="Arial" w:cs="Arial"/>
          <w:bCs/>
          <w:lang w:val="en-US"/>
        </w:rPr>
        <w:t>.</w:t>
      </w:r>
    </w:p>
    <w:p w14:paraId="6AA2B937" w14:textId="77777777" w:rsidR="00CE5819" w:rsidRPr="00925CB8" w:rsidRDefault="00CE5819" w:rsidP="00CE5819">
      <w:pPr>
        <w:spacing w:after="0" w:line="240" w:lineRule="auto"/>
        <w:ind w:left="720"/>
        <w:jc w:val="both"/>
        <w:rPr>
          <w:rFonts w:ascii="Arial" w:hAnsi="Arial" w:cs="Arial"/>
          <w:bCs/>
          <w:lang w:val="en-US" w:eastAsia="ar-SA"/>
        </w:rPr>
      </w:pPr>
    </w:p>
    <w:p w14:paraId="7FA87427" w14:textId="77777777" w:rsidR="004C6F61" w:rsidRPr="00925CB8" w:rsidRDefault="004C6F61" w:rsidP="00DD3B61">
      <w:pPr>
        <w:numPr>
          <w:ilvl w:val="0"/>
          <w:numId w:val="6"/>
        </w:numPr>
        <w:spacing w:after="0" w:line="240" w:lineRule="auto"/>
        <w:jc w:val="both"/>
        <w:rPr>
          <w:rFonts w:ascii="Arial" w:hAnsi="Arial" w:cs="Arial"/>
          <w:bCs/>
          <w:vanish/>
          <w:lang w:val="en-US"/>
        </w:rPr>
      </w:pPr>
    </w:p>
    <w:p w14:paraId="7C7D0210" w14:textId="22C27A5D" w:rsidR="004C6F61" w:rsidRPr="00925CB8" w:rsidRDefault="00F2372A" w:rsidP="00DD3B61">
      <w:pPr>
        <w:numPr>
          <w:ilvl w:val="1"/>
          <w:numId w:val="6"/>
        </w:numPr>
        <w:spacing w:after="0" w:line="240" w:lineRule="auto"/>
        <w:ind w:left="720"/>
        <w:jc w:val="both"/>
        <w:rPr>
          <w:rFonts w:ascii="Arial" w:hAnsi="Arial" w:cs="Arial"/>
          <w:bCs/>
          <w:lang w:val="en-US"/>
        </w:rPr>
      </w:pPr>
      <w:r>
        <w:rPr>
          <w:rFonts w:ascii="Arial" w:hAnsi="Arial" w:cs="Arial"/>
          <w:bCs/>
          <w:lang w:val="en-US"/>
        </w:rPr>
        <w:t>To update the Game Rules and Regulations for lotto and digit games to clearly define conditions of a valid cancelation of tickets and should be captured by the system accordingly and e</w:t>
      </w:r>
      <w:r w:rsidRPr="00414AB0">
        <w:rPr>
          <w:rFonts w:ascii="Arial" w:hAnsi="Arial" w:cs="Arial"/>
          <w:bCs/>
          <w:lang w:val="en-US"/>
        </w:rPr>
        <w:t>nhance the existing internal control policy and adopt measures that will ensure the accuracy, validity and reliability of the reported canceled sales to address the risk of improper cancelation of sales of lotto tickets</w:t>
      </w:r>
      <w:r>
        <w:rPr>
          <w:rFonts w:ascii="Arial" w:hAnsi="Arial" w:cs="Arial"/>
          <w:bCs/>
          <w:lang w:val="en-US"/>
        </w:rPr>
        <w:t>.</w:t>
      </w:r>
    </w:p>
    <w:p w14:paraId="62C5106E" w14:textId="77777777" w:rsidR="004C6F61" w:rsidRDefault="004C6F61" w:rsidP="004C6F61">
      <w:pPr>
        <w:overflowPunct w:val="0"/>
        <w:autoSpaceDE w:val="0"/>
        <w:autoSpaceDN w:val="0"/>
        <w:adjustRightInd w:val="0"/>
        <w:spacing w:after="0" w:line="240" w:lineRule="auto"/>
        <w:ind w:right="-14"/>
        <w:jc w:val="both"/>
        <w:textAlignment w:val="baseline"/>
        <w:rPr>
          <w:rFonts w:ascii="Arial" w:eastAsia="Times New Roman" w:hAnsi="Arial" w:cs="Arial"/>
          <w:lang w:val="en-US"/>
        </w:rPr>
      </w:pPr>
    </w:p>
    <w:p w14:paraId="3D14261A" w14:textId="77777777" w:rsidR="00800ED3" w:rsidRPr="00925CB8" w:rsidRDefault="00800ED3" w:rsidP="004C6F61">
      <w:pPr>
        <w:overflowPunct w:val="0"/>
        <w:autoSpaceDE w:val="0"/>
        <w:autoSpaceDN w:val="0"/>
        <w:adjustRightInd w:val="0"/>
        <w:spacing w:after="0" w:line="240" w:lineRule="auto"/>
        <w:ind w:right="-14"/>
        <w:jc w:val="both"/>
        <w:textAlignment w:val="baseline"/>
        <w:rPr>
          <w:rFonts w:ascii="Arial" w:eastAsia="Times New Roman" w:hAnsi="Arial" w:cs="Arial"/>
          <w:lang w:val="en-US"/>
        </w:rPr>
      </w:pPr>
    </w:p>
    <w:p w14:paraId="49067AA1" w14:textId="158443A3" w:rsidR="004C6F61" w:rsidRPr="00925CB8" w:rsidRDefault="004C6F61" w:rsidP="00E20F8F">
      <w:pPr>
        <w:keepNext/>
        <w:keepLines/>
        <w:spacing w:after="0" w:line="240" w:lineRule="auto"/>
        <w:jc w:val="both"/>
        <w:rPr>
          <w:rFonts w:ascii="Arial" w:eastAsia="Times New Roman" w:hAnsi="Arial" w:cs="Arial"/>
          <w:lang w:val="en-US"/>
        </w:rPr>
      </w:pPr>
      <w:r w:rsidRPr="00925CB8">
        <w:rPr>
          <w:rFonts w:ascii="Arial" w:eastAsia="Times New Roman" w:hAnsi="Arial" w:cs="Arial"/>
          <w:lang w:val="en-US"/>
        </w:rPr>
        <w:t>The other significant audit observation and recommendations that need immediate action are as follows:</w:t>
      </w:r>
    </w:p>
    <w:p w14:paraId="189B3B65" w14:textId="77777777" w:rsidR="006476C4" w:rsidRPr="00925CB8" w:rsidRDefault="004C6F61" w:rsidP="00800ED3">
      <w:pPr>
        <w:keepNext/>
        <w:keepLines/>
        <w:contextualSpacing/>
        <w:jc w:val="both"/>
        <w:rPr>
          <w:rFonts w:ascii="Arial" w:hAnsi="Arial" w:cs="Arial"/>
          <w:bCs/>
          <w:lang w:val="en-US"/>
        </w:rPr>
      </w:pPr>
      <w:r w:rsidRPr="00925CB8">
        <w:rPr>
          <w:rFonts w:ascii="Arial" w:hAnsi="Arial" w:cs="Arial"/>
          <w:lang w:val="en-US"/>
        </w:rPr>
        <w:t xml:space="preserve">                                               </w:t>
      </w:r>
    </w:p>
    <w:p w14:paraId="1642616B" w14:textId="50491404" w:rsidR="004C6F61" w:rsidRPr="00414AB0" w:rsidRDefault="00700F1B" w:rsidP="00DD3B61">
      <w:pPr>
        <w:numPr>
          <w:ilvl w:val="0"/>
          <w:numId w:val="10"/>
        </w:numPr>
        <w:spacing w:after="0" w:line="240" w:lineRule="auto"/>
        <w:ind w:left="720" w:hanging="540"/>
        <w:jc w:val="both"/>
        <w:rPr>
          <w:rFonts w:ascii="Arial" w:hAnsi="Arial" w:cs="Arial"/>
          <w:bCs/>
          <w:lang w:val="en-US"/>
        </w:rPr>
      </w:pPr>
      <w:r w:rsidRPr="00414AB0">
        <w:rPr>
          <w:rFonts w:ascii="Arial" w:hAnsi="Arial" w:cs="Arial"/>
          <w:bCs/>
          <w:lang w:val="en-US"/>
        </w:rPr>
        <w:t xml:space="preserve">The non-submission of the detailed monthly Prizes and Winners Summary Report for calendar years (CY) 2018 to 2023, the delay in the submission of the monthly Inventory and Sales Report, and the incomplete submission of the Production Report and its supporting documents by the Powerball Marketing and Logistic Corporation (PMLC) for CYs 2022 and 2023, and the lack of written approval of the PCSO on the production of 2 million tickets of </w:t>
      </w:r>
      <w:r w:rsidRPr="00414AB0">
        <w:rPr>
          <w:rFonts w:ascii="Arial" w:hAnsi="Arial" w:cs="Arial"/>
          <w:bCs/>
          <w:i/>
          <w:lang w:val="en-US"/>
        </w:rPr>
        <w:t>Go for Gold 50</w:t>
      </w:r>
      <w:r w:rsidRPr="00414AB0">
        <w:rPr>
          <w:rFonts w:ascii="Arial" w:hAnsi="Arial" w:cs="Arial"/>
          <w:bCs/>
          <w:lang w:val="en-US"/>
        </w:rPr>
        <w:t xml:space="preserve"> game variant constitute non-compliance of PMLC with Sections 31(b), 34, and 41 of the 2017 RIRR for ISP and Section 7 of the Memorandum of Agreement between PCSO and PMLC, and inadequate program monitoring by PCSO contrary to Section 47 of the 2017 Revised Implementing Rules and Regulations for ISP</w:t>
      </w:r>
      <w:r>
        <w:rPr>
          <w:rFonts w:ascii="Arial" w:hAnsi="Arial" w:cs="Arial"/>
          <w:bCs/>
          <w:lang w:val="en-US"/>
        </w:rPr>
        <w:t>.</w:t>
      </w:r>
    </w:p>
    <w:p w14:paraId="14B48B6B" w14:textId="77777777" w:rsidR="004C6F61" w:rsidRPr="00925CB8" w:rsidRDefault="004C6F61" w:rsidP="00414AB0">
      <w:pPr>
        <w:spacing w:after="0" w:line="240" w:lineRule="auto"/>
        <w:jc w:val="both"/>
        <w:rPr>
          <w:rFonts w:ascii="Arial" w:hAnsi="Arial" w:cs="Arial"/>
          <w:bCs/>
          <w:lang w:val="en-US"/>
        </w:rPr>
      </w:pPr>
    </w:p>
    <w:p w14:paraId="6D5549E1" w14:textId="77777777" w:rsidR="00884227" w:rsidRPr="00925CB8" w:rsidRDefault="00884227" w:rsidP="00884227">
      <w:pPr>
        <w:numPr>
          <w:ilvl w:val="1"/>
          <w:numId w:val="10"/>
        </w:numPr>
        <w:spacing w:after="0" w:line="240" w:lineRule="auto"/>
        <w:ind w:left="720" w:hanging="540"/>
        <w:jc w:val="both"/>
        <w:rPr>
          <w:rFonts w:ascii="Arial" w:hAnsi="Arial" w:cs="Arial"/>
          <w:bCs/>
          <w:lang w:val="en-US"/>
        </w:rPr>
      </w:pPr>
      <w:r w:rsidRPr="00925CB8">
        <w:rPr>
          <w:rFonts w:ascii="Arial" w:hAnsi="Arial" w:cs="Arial"/>
          <w:bCs/>
          <w:lang w:val="en-US"/>
        </w:rPr>
        <w:t>We recommended Management to:</w:t>
      </w:r>
    </w:p>
    <w:p w14:paraId="7C003DE9" w14:textId="77777777" w:rsidR="00884227" w:rsidRPr="00925CB8" w:rsidRDefault="00884227" w:rsidP="00884227">
      <w:pPr>
        <w:spacing w:after="0" w:line="240" w:lineRule="auto"/>
        <w:ind w:left="720"/>
        <w:jc w:val="both"/>
        <w:rPr>
          <w:rFonts w:ascii="Arial" w:hAnsi="Arial" w:cs="Arial"/>
          <w:b/>
          <w:bCs/>
          <w:lang w:val="en-US"/>
        </w:rPr>
      </w:pPr>
    </w:p>
    <w:p w14:paraId="3054198B" w14:textId="6B712F5E" w:rsidR="00884227" w:rsidRPr="00414AB0" w:rsidRDefault="00700F1B" w:rsidP="00884227">
      <w:pPr>
        <w:numPr>
          <w:ilvl w:val="0"/>
          <w:numId w:val="13"/>
        </w:numPr>
        <w:spacing w:after="0" w:line="240" w:lineRule="auto"/>
        <w:ind w:left="1276" w:hanging="567"/>
        <w:jc w:val="both"/>
        <w:rPr>
          <w:rFonts w:ascii="Arial" w:hAnsi="Arial" w:cs="Arial"/>
          <w:bCs/>
          <w:lang w:val="en-US"/>
        </w:rPr>
      </w:pPr>
      <w:r w:rsidRPr="00414AB0">
        <w:rPr>
          <w:rFonts w:ascii="Arial" w:hAnsi="Arial" w:cs="Arial"/>
          <w:bCs/>
          <w:lang w:val="en-US"/>
        </w:rPr>
        <w:t>Require the PMLC to submit the PWS Reports pertaining to the five-year contract with PCSO from CY 2018 to CY 2023, including the details such as the number of winners per game variant and the amount of winnings. Henceforth, we recommend the timely submission of the monthly reports required under the approved guidelines for ISP</w:t>
      </w:r>
      <w:r>
        <w:rPr>
          <w:rFonts w:ascii="Arial" w:hAnsi="Arial" w:cs="Arial"/>
          <w:bCs/>
          <w:lang w:val="en-US"/>
        </w:rPr>
        <w:t>;</w:t>
      </w:r>
    </w:p>
    <w:p w14:paraId="2564B3C1" w14:textId="77777777" w:rsidR="00884227" w:rsidRPr="00925CB8" w:rsidRDefault="00884227" w:rsidP="00884227">
      <w:pPr>
        <w:spacing w:after="0" w:line="240" w:lineRule="auto"/>
        <w:ind w:left="1276" w:hanging="567"/>
        <w:jc w:val="both"/>
        <w:rPr>
          <w:rFonts w:ascii="Arial" w:hAnsi="Arial" w:cs="Arial"/>
          <w:bCs/>
          <w:lang w:val="en-US"/>
        </w:rPr>
      </w:pPr>
    </w:p>
    <w:p w14:paraId="2350A6D1" w14:textId="722E5CD3" w:rsidR="00884227" w:rsidRPr="00414AB0" w:rsidRDefault="00700F1B" w:rsidP="00884227">
      <w:pPr>
        <w:numPr>
          <w:ilvl w:val="0"/>
          <w:numId w:val="13"/>
        </w:numPr>
        <w:spacing w:after="0" w:line="240" w:lineRule="auto"/>
        <w:ind w:left="1276" w:hanging="567"/>
        <w:jc w:val="both"/>
        <w:rPr>
          <w:rFonts w:ascii="Arial" w:hAnsi="Arial" w:cs="Arial"/>
          <w:bCs/>
          <w:lang w:val="en-US"/>
        </w:rPr>
      </w:pPr>
      <w:r w:rsidRPr="00414AB0">
        <w:rPr>
          <w:rFonts w:ascii="Arial" w:hAnsi="Arial" w:cs="Arial"/>
          <w:bCs/>
          <w:lang w:val="en-US"/>
        </w:rPr>
        <w:t>Require the PMLC to submit the Production Reports including its complete supporting documents pertaining to the production/re-printing of the 18 million IS tickets in CY 2022</w:t>
      </w:r>
      <w:r>
        <w:rPr>
          <w:rFonts w:ascii="Arial" w:hAnsi="Arial" w:cs="Arial"/>
          <w:bCs/>
          <w:lang w:val="en-US"/>
        </w:rPr>
        <w:t>;</w:t>
      </w:r>
    </w:p>
    <w:p w14:paraId="681C6023" w14:textId="77777777" w:rsidR="00884227" w:rsidRPr="00925CB8" w:rsidRDefault="00884227" w:rsidP="00884227">
      <w:pPr>
        <w:spacing w:after="0" w:line="240" w:lineRule="auto"/>
        <w:ind w:left="1276" w:hanging="567"/>
        <w:jc w:val="both"/>
        <w:rPr>
          <w:rFonts w:ascii="Arial" w:hAnsi="Arial" w:cs="Arial"/>
          <w:bCs/>
          <w:lang w:val="en-US"/>
        </w:rPr>
      </w:pPr>
    </w:p>
    <w:p w14:paraId="23A1121B" w14:textId="68B55B07" w:rsidR="00884227" w:rsidRPr="00925CB8" w:rsidRDefault="00700F1B" w:rsidP="00884227">
      <w:pPr>
        <w:numPr>
          <w:ilvl w:val="0"/>
          <w:numId w:val="13"/>
        </w:numPr>
        <w:spacing w:after="0" w:line="240" w:lineRule="auto"/>
        <w:ind w:left="1276" w:hanging="567"/>
        <w:jc w:val="both"/>
        <w:rPr>
          <w:rFonts w:ascii="Arial" w:hAnsi="Arial" w:cs="Arial"/>
          <w:bCs/>
          <w:lang w:val="en-US"/>
        </w:rPr>
      </w:pPr>
      <w:r w:rsidRPr="00414AB0">
        <w:rPr>
          <w:rFonts w:ascii="Arial" w:hAnsi="Arial" w:cs="Arial"/>
          <w:bCs/>
          <w:lang w:val="en-US"/>
        </w:rPr>
        <w:t>Require ISAC the strict compliance on the approval of PCSO before the production of IS tickets; and</w:t>
      </w:r>
    </w:p>
    <w:p w14:paraId="75406528" w14:textId="77777777" w:rsidR="00884227" w:rsidRPr="00925CB8" w:rsidRDefault="00884227" w:rsidP="00884227">
      <w:pPr>
        <w:spacing w:after="0" w:line="240" w:lineRule="auto"/>
        <w:ind w:left="1276" w:hanging="567"/>
        <w:jc w:val="both"/>
        <w:rPr>
          <w:rFonts w:ascii="Arial" w:hAnsi="Arial" w:cs="Arial"/>
          <w:bCs/>
          <w:lang w:val="en-US"/>
        </w:rPr>
      </w:pPr>
    </w:p>
    <w:p w14:paraId="42759715" w14:textId="002CF347" w:rsidR="00884227" w:rsidRPr="00414AB0" w:rsidRDefault="00700F1B" w:rsidP="00884227">
      <w:pPr>
        <w:numPr>
          <w:ilvl w:val="0"/>
          <w:numId w:val="13"/>
        </w:numPr>
        <w:spacing w:after="0" w:line="240" w:lineRule="auto"/>
        <w:ind w:left="1276" w:hanging="567"/>
        <w:jc w:val="both"/>
        <w:rPr>
          <w:rFonts w:ascii="Arial" w:hAnsi="Arial" w:cs="Arial"/>
          <w:bCs/>
          <w:lang w:val="en-US"/>
        </w:rPr>
      </w:pPr>
      <w:r w:rsidRPr="00414AB0">
        <w:rPr>
          <w:rFonts w:ascii="Arial" w:hAnsi="Arial" w:cs="Arial"/>
          <w:bCs/>
          <w:lang w:val="en-US"/>
        </w:rPr>
        <w:t>Impose the sanctions or remedies available in the 2017 RIRR for ISP and the MOA between PCSO and PMLC for the above stated non-compliance of PMLC</w:t>
      </w:r>
      <w:r>
        <w:rPr>
          <w:rFonts w:ascii="Arial" w:hAnsi="Arial" w:cs="Arial"/>
          <w:bCs/>
          <w:lang w:val="en-US"/>
        </w:rPr>
        <w:t>.</w:t>
      </w:r>
    </w:p>
    <w:p w14:paraId="3431DBAB" w14:textId="77777777" w:rsidR="005C25FF" w:rsidRPr="00925CB8" w:rsidRDefault="005C25FF" w:rsidP="00884227">
      <w:pPr>
        <w:spacing w:after="0" w:line="240" w:lineRule="auto"/>
        <w:ind w:left="720"/>
        <w:jc w:val="both"/>
        <w:rPr>
          <w:rFonts w:ascii="Arial" w:hAnsi="Arial" w:cs="Arial"/>
          <w:bCs/>
        </w:rPr>
      </w:pPr>
    </w:p>
    <w:p w14:paraId="77C4FD31" w14:textId="77777777" w:rsidR="004A3A50" w:rsidRPr="00925CB8" w:rsidRDefault="004A3A50" w:rsidP="00784E0F">
      <w:pPr>
        <w:spacing w:after="0" w:line="240" w:lineRule="auto"/>
        <w:ind w:left="1260"/>
        <w:jc w:val="both"/>
        <w:rPr>
          <w:rFonts w:ascii="Arial" w:hAnsi="Arial" w:cs="Arial"/>
          <w:bCs/>
        </w:rPr>
      </w:pPr>
    </w:p>
    <w:p w14:paraId="5B324B58" w14:textId="77777777" w:rsidR="00B4130A" w:rsidRPr="00925CB8" w:rsidRDefault="00B4130A" w:rsidP="00B4130A">
      <w:pPr>
        <w:pStyle w:val="ListParagraph"/>
        <w:ind w:left="0"/>
        <w:contextualSpacing/>
        <w:jc w:val="both"/>
        <w:rPr>
          <w:rFonts w:ascii="Arial" w:hAnsi="Arial" w:cs="Arial"/>
          <w:b/>
          <w:sz w:val="22"/>
          <w:szCs w:val="22"/>
        </w:rPr>
      </w:pPr>
      <w:r w:rsidRPr="00925CB8">
        <w:rPr>
          <w:rFonts w:ascii="Arial" w:hAnsi="Arial" w:cs="Arial"/>
          <w:b/>
          <w:sz w:val="22"/>
          <w:szCs w:val="22"/>
        </w:rPr>
        <w:t xml:space="preserve">SUMMARY OF TOTAL SUSPENSIONS, DISALLOWANCES AND CHARGES </w:t>
      </w:r>
    </w:p>
    <w:p w14:paraId="33814344" w14:textId="77777777" w:rsidR="00B4130A" w:rsidRPr="00925CB8" w:rsidRDefault="00B4130A" w:rsidP="00B4130A">
      <w:pPr>
        <w:pStyle w:val="ListParagraph"/>
        <w:ind w:left="0"/>
        <w:contextualSpacing/>
        <w:jc w:val="both"/>
        <w:rPr>
          <w:rFonts w:ascii="Arial" w:hAnsi="Arial" w:cs="Arial"/>
          <w:b/>
          <w:sz w:val="22"/>
          <w:szCs w:val="22"/>
        </w:rPr>
      </w:pPr>
    </w:p>
    <w:p w14:paraId="00FE4872" w14:textId="0E2376A5" w:rsidR="00B4130A" w:rsidRPr="00925CB8" w:rsidRDefault="00B4130A" w:rsidP="00B4130A">
      <w:pPr>
        <w:spacing w:after="0" w:line="240" w:lineRule="auto"/>
        <w:jc w:val="both"/>
        <w:rPr>
          <w:rFonts w:ascii="Arial" w:eastAsia="Arial" w:hAnsi="Arial" w:cs="Arial"/>
        </w:rPr>
      </w:pPr>
      <w:r w:rsidRPr="00925CB8">
        <w:rPr>
          <w:rFonts w:ascii="Arial" w:hAnsi="Arial" w:cs="Arial"/>
        </w:rPr>
        <w:t>The unsettled audit suspensions and disal</w:t>
      </w:r>
      <w:r w:rsidR="005C25FF" w:rsidRPr="00925CB8">
        <w:rPr>
          <w:rFonts w:ascii="Arial" w:hAnsi="Arial" w:cs="Arial"/>
        </w:rPr>
        <w:t>lowances as of December 31, 202</w:t>
      </w:r>
      <w:r w:rsidR="0025781A" w:rsidRPr="00925CB8">
        <w:rPr>
          <w:rFonts w:ascii="Arial" w:hAnsi="Arial" w:cs="Arial"/>
        </w:rPr>
        <w:t>3</w:t>
      </w:r>
      <w:r w:rsidRPr="00925CB8">
        <w:rPr>
          <w:rFonts w:ascii="Arial" w:hAnsi="Arial" w:cs="Arial"/>
        </w:rPr>
        <w:t xml:space="preserve"> amounted to P87.197 million and P2.</w:t>
      </w:r>
      <w:r w:rsidR="00010BF3" w:rsidRPr="00925CB8">
        <w:rPr>
          <w:rFonts w:ascii="Arial" w:hAnsi="Arial" w:cs="Arial"/>
        </w:rPr>
        <w:t>691</w:t>
      </w:r>
      <w:r w:rsidRPr="00925CB8">
        <w:rPr>
          <w:rFonts w:ascii="Arial" w:hAnsi="Arial" w:cs="Arial"/>
        </w:rPr>
        <w:t xml:space="preserve"> billion,</w:t>
      </w:r>
      <w:r w:rsidR="0097667F" w:rsidRPr="00925CB8">
        <w:rPr>
          <w:rFonts w:ascii="Arial" w:hAnsi="Arial" w:cs="Arial"/>
        </w:rPr>
        <w:t xml:space="preserve"> respectively,</w:t>
      </w:r>
      <w:r w:rsidRPr="00925CB8">
        <w:rPr>
          <w:rFonts w:ascii="Arial" w:hAnsi="Arial" w:cs="Arial"/>
        </w:rPr>
        <w:t xml:space="preserve"> and the details and status thereof are shown in Part IV-Annex </w:t>
      </w:r>
      <w:r w:rsidR="00C6351D">
        <w:rPr>
          <w:rFonts w:ascii="Arial" w:hAnsi="Arial" w:cs="Arial"/>
        </w:rPr>
        <w:t>G</w:t>
      </w:r>
      <w:r w:rsidR="00C6351D" w:rsidRPr="00925CB8">
        <w:rPr>
          <w:rFonts w:ascii="Arial" w:hAnsi="Arial" w:cs="Arial"/>
        </w:rPr>
        <w:t xml:space="preserve"> </w:t>
      </w:r>
      <w:r w:rsidRPr="00925CB8">
        <w:rPr>
          <w:rFonts w:ascii="Arial" w:hAnsi="Arial" w:cs="Arial"/>
        </w:rPr>
        <w:t>of this Report. There was no Notice of Charge issued during the year</w:t>
      </w:r>
      <w:r w:rsidRPr="00925CB8">
        <w:rPr>
          <w:rFonts w:ascii="Arial" w:eastAsia="Arial" w:hAnsi="Arial" w:cs="Arial"/>
        </w:rPr>
        <w:t>.</w:t>
      </w:r>
    </w:p>
    <w:p w14:paraId="362DEE7E" w14:textId="77777777" w:rsidR="00B4130A" w:rsidRPr="00925CB8" w:rsidRDefault="00B4130A" w:rsidP="00B4130A">
      <w:pPr>
        <w:spacing w:after="0" w:line="240" w:lineRule="auto"/>
        <w:jc w:val="both"/>
        <w:rPr>
          <w:rFonts w:ascii="Arial" w:hAnsi="Arial" w:cs="Arial"/>
          <w:b/>
        </w:rPr>
      </w:pPr>
    </w:p>
    <w:p w14:paraId="1B2330A4" w14:textId="77777777" w:rsidR="00B4130A" w:rsidRPr="00925CB8" w:rsidRDefault="00B4130A" w:rsidP="00B4130A">
      <w:pPr>
        <w:spacing w:after="0" w:line="240" w:lineRule="auto"/>
        <w:jc w:val="both"/>
        <w:rPr>
          <w:rFonts w:ascii="Arial" w:hAnsi="Arial" w:cs="Arial"/>
          <w:b/>
        </w:rPr>
      </w:pPr>
    </w:p>
    <w:p w14:paraId="300DD2DB" w14:textId="77777777" w:rsidR="00B4130A" w:rsidRPr="00925CB8" w:rsidRDefault="00B4130A" w:rsidP="00B4130A">
      <w:pPr>
        <w:spacing w:after="0" w:line="240" w:lineRule="auto"/>
        <w:jc w:val="both"/>
        <w:rPr>
          <w:rFonts w:ascii="Arial" w:hAnsi="Arial" w:cs="Arial"/>
          <w:b/>
        </w:rPr>
      </w:pPr>
      <w:r w:rsidRPr="00925CB8">
        <w:rPr>
          <w:rFonts w:ascii="Arial" w:hAnsi="Arial" w:cs="Arial"/>
          <w:b/>
        </w:rPr>
        <w:t>STATUS OF IMPLEMENTATION OF PRIOR YEAR’S AUDIT RECOMMENDATIONS</w:t>
      </w:r>
    </w:p>
    <w:p w14:paraId="1D5ED5C8" w14:textId="77777777" w:rsidR="00B4130A" w:rsidRPr="00925CB8" w:rsidRDefault="00B4130A" w:rsidP="00B4130A">
      <w:pPr>
        <w:spacing w:after="0" w:line="240" w:lineRule="auto"/>
        <w:jc w:val="both"/>
        <w:rPr>
          <w:rFonts w:ascii="Arial" w:hAnsi="Arial" w:cs="Arial"/>
          <w:b/>
        </w:rPr>
      </w:pPr>
    </w:p>
    <w:p w14:paraId="5A3C124D" w14:textId="77777777" w:rsidR="00B4130A" w:rsidRPr="00925CB8" w:rsidRDefault="005C25FF" w:rsidP="00B4130A">
      <w:pPr>
        <w:spacing w:after="0" w:line="240" w:lineRule="auto"/>
        <w:jc w:val="both"/>
        <w:rPr>
          <w:rFonts w:ascii="Arial" w:hAnsi="Arial" w:cs="Arial"/>
        </w:rPr>
      </w:pPr>
      <w:r w:rsidRPr="00925CB8">
        <w:rPr>
          <w:rFonts w:ascii="Arial" w:hAnsi="Arial" w:cs="Arial"/>
        </w:rPr>
        <w:t xml:space="preserve">Out of the </w:t>
      </w:r>
      <w:r w:rsidR="0025781A" w:rsidRPr="00925CB8">
        <w:rPr>
          <w:rFonts w:ascii="Arial" w:hAnsi="Arial" w:cs="Arial"/>
        </w:rPr>
        <w:t>47</w:t>
      </w:r>
      <w:r w:rsidR="00B4130A" w:rsidRPr="00925CB8">
        <w:rPr>
          <w:rFonts w:ascii="Arial" w:hAnsi="Arial" w:cs="Arial"/>
        </w:rPr>
        <w:t xml:space="preserve"> audit recommendations embodied in the previous year</w:t>
      </w:r>
      <w:r w:rsidR="00AC421A" w:rsidRPr="00925CB8">
        <w:rPr>
          <w:rFonts w:ascii="Arial" w:hAnsi="Arial" w:cs="Arial"/>
        </w:rPr>
        <w:t xml:space="preserve">’s Annual Audit Report, </w:t>
      </w:r>
      <w:r w:rsidR="004C4B63" w:rsidRPr="00925CB8">
        <w:rPr>
          <w:rFonts w:ascii="Arial" w:hAnsi="Arial" w:cs="Arial"/>
        </w:rPr>
        <w:t>29</w:t>
      </w:r>
      <w:r w:rsidR="000507F5" w:rsidRPr="00925CB8">
        <w:rPr>
          <w:rFonts w:ascii="Arial" w:hAnsi="Arial" w:cs="Arial"/>
        </w:rPr>
        <w:t xml:space="preserve"> we</w:t>
      </w:r>
      <w:r w:rsidR="00411DE9" w:rsidRPr="00925CB8">
        <w:rPr>
          <w:rFonts w:ascii="Arial" w:hAnsi="Arial" w:cs="Arial"/>
        </w:rPr>
        <w:t xml:space="preserve">re </w:t>
      </w:r>
      <w:r w:rsidRPr="00925CB8">
        <w:rPr>
          <w:rFonts w:ascii="Arial" w:hAnsi="Arial" w:cs="Arial"/>
        </w:rPr>
        <w:t xml:space="preserve">implemented </w:t>
      </w:r>
      <w:r w:rsidR="00B4130A" w:rsidRPr="00925CB8">
        <w:rPr>
          <w:rFonts w:ascii="Arial" w:hAnsi="Arial" w:cs="Arial"/>
        </w:rPr>
        <w:t xml:space="preserve">and </w:t>
      </w:r>
      <w:r w:rsidR="004C4B63" w:rsidRPr="00925CB8">
        <w:rPr>
          <w:rFonts w:ascii="Arial" w:hAnsi="Arial" w:cs="Arial"/>
        </w:rPr>
        <w:t>18</w:t>
      </w:r>
      <w:r w:rsidR="0025781A" w:rsidRPr="00925CB8">
        <w:rPr>
          <w:rFonts w:ascii="Arial" w:hAnsi="Arial" w:cs="Arial"/>
        </w:rPr>
        <w:t xml:space="preserve"> </w:t>
      </w:r>
      <w:r w:rsidR="000507F5" w:rsidRPr="00925CB8">
        <w:rPr>
          <w:rFonts w:ascii="Arial" w:hAnsi="Arial" w:cs="Arial"/>
        </w:rPr>
        <w:t>were</w:t>
      </w:r>
      <w:r w:rsidR="00B4130A" w:rsidRPr="00925CB8">
        <w:rPr>
          <w:rFonts w:ascii="Arial" w:hAnsi="Arial" w:cs="Arial"/>
        </w:rPr>
        <w:t xml:space="preserve"> not implemented. Details are presented in Part III of this Report.</w:t>
      </w:r>
    </w:p>
    <w:p w14:paraId="4D96FA19" w14:textId="77777777" w:rsidR="00861054" w:rsidRPr="00925CB8" w:rsidRDefault="00861054"/>
    <w:sectPr w:rsidR="00861054" w:rsidRPr="00925CB8" w:rsidSect="009A555D">
      <w:footerReference w:type="default" r:id="rId7"/>
      <w:pgSz w:w="12240" w:h="15840" w:code="1"/>
      <w:pgMar w:top="1440" w:right="1440" w:bottom="1440" w:left="1440" w:header="720" w:footer="720" w:gutter="720"/>
      <w:pgNumType w:fmt="lowerRoman"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77921D" w16cid:durableId="2A3665BA"/>
  <w16cid:commentId w16cid:paraId="2E2D321C" w16cid:durableId="2A3665C6"/>
  <w16cid:commentId w16cid:paraId="16E83244" w16cid:durableId="2A3665E4"/>
  <w16cid:commentId w16cid:paraId="1479D6E0" w16cid:durableId="2A366B9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11AE9" w14:textId="77777777" w:rsidR="00CA08F7" w:rsidRDefault="00CA08F7" w:rsidP="00A51FAB">
      <w:pPr>
        <w:spacing w:after="0" w:line="240" w:lineRule="auto"/>
      </w:pPr>
      <w:r>
        <w:separator/>
      </w:r>
    </w:p>
  </w:endnote>
  <w:endnote w:type="continuationSeparator" w:id="0">
    <w:p w14:paraId="610E03E4" w14:textId="77777777" w:rsidR="00CA08F7" w:rsidRDefault="00CA08F7" w:rsidP="00A51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7799130"/>
      <w:docPartObj>
        <w:docPartGallery w:val="Page Numbers (Bottom of Page)"/>
        <w:docPartUnique/>
      </w:docPartObj>
    </w:sdtPr>
    <w:sdtEndPr>
      <w:rPr>
        <w:rFonts w:ascii="Arial" w:hAnsi="Arial" w:cs="Arial"/>
        <w:noProof/>
        <w:sz w:val="20"/>
        <w:szCs w:val="20"/>
      </w:rPr>
    </w:sdtEndPr>
    <w:sdtContent>
      <w:p w14:paraId="05BAA7C3" w14:textId="25433A11" w:rsidR="00B14C5E" w:rsidRPr="00F52CAD" w:rsidRDefault="00B14C5E">
        <w:pPr>
          <w:pStyle w:val="Footer"/>
          <w:jc w:val="right"/>
          <w:rPr>
            <w:rFonts w:ascii="Arial" w:hAnsi="Arial" w:cs="Arial"/>
            <w:sz w:val="20"/>
            <w:szCs w:val="20"/>
          </w:rPr>
        </w:pPr>
        <w:r w:rsidRPr="00F52CAD">
          <w:rPr>
            <w:rFonts w:ascii="Arial" w:hAnsi="Arial" w:cs="Arial"/>
            <w:sz w:val="20"/>
            <w:szCs w:val="20"/>
          </w:rPr>
          <w:fldChar w:fldCharType="begin"/>
        </w:r>
        <w:r w:rsidRPr="00F52CAD">
          <w:rPr>
            <w:rFonts w:ascii="Arial" w:hAnsi="Arial" w:cs="Arial"/>
            <w:sz w:val="20"/>
            <w:szCs w:val="20"/>
          </w:rPr>
          <w:instrText xml:space="preserve"> PAGE   \* MERGEFORMAT </w:instrText>
        </w:r>
        <w:r w:rsidRPr="00F52CAD">
          <w:rPr>
            <w:rFonts w:ascii="Arial" w:hAnsi="Arial" w:cs="Arial"/>
            <w:sz w:val="20"/>
            <w:szCs w:val="20"/>
          </w:rPr>
          <w:fldChar w:fldCharType="separate"/>
        </w:r>
        <w:r w:rsidR="00736A4F">
          <w:rPr>
            <w:rFonts w:ascii="Arial" w:hAnsi="Arial" w:cs="Arial"/>
            <w:noProof/>
            <w:sz w:val="20"/>
            <w:szCs w:val="20"/>
          </w:rPr>
          <w:t>i</w:t>
        </w:r>
        <w:r w:rsidRPr="00F52CAD">
          <w:rPr>
            <w:rFonts w:ascii="Arial" w:hAnsi="Arial" w:cs="Arial"/>
            <w:noProof/>
            <w:sz w:val="20"/>
            <w:szCs w:val="20"/>
          </w:rPr>
          <w:fldChar w:fldCharType="end"/>
        </w:r>
      </w:p>
    </w:sdtContent>
  </w:sdt>
  <w:p w14:paraId="64C28DA6" w14:textId="77777777" w:rsidR="00B14C5E" w:rsidRPr="009A555D" w:rsidRDefault="00B14C5E" w:rsidP="009A555D">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41061C" w14:textId="77777777" w:rsidR="00CA08F7" w:rsidRDefault="00CA08F7" w:rsidP="00A51FAB">
      <w:pPr>
        <w:spacing w:after="0" w:line="240" w:lineRule="auto"/>
      </w:pPr>
      <w:r>
        <w:separator/>
      </w:r>
    </w:p>
  </w:footnote>
  <w:footnote w:type="continuationSeparator" w:id="0">
    <w:p w14:paraId="7CE9FD9D" w14:textId="77777777" w:rsidR="00CA08F7" w:rsidRDefault="00CA08F7" w:rsidP="00A51F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F4352"/>
    <w:multiLevelType w:val="multilevel"/>
    <w:tmpl w:val="DF5417B2"/>
    <w:lvl w:ilvl="0">
      <w:start w:val="4"/>
      <w:numFmt w:val="decimal"/>
      <w:lvlText w:val="%1."/>
      <w:lvlJc w:val="left"/>
      <w:pPr>
        <w:ind w:left="360" w:hanging="360"/>
      </w:pPr>
      <w:rPr>
        <w:rFonts w:hint="default"/>
        <w:b w:val="0"/>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1" w15:restartNumberingAfterBreak="0">
    <w:nsid w:val="1BD85765"/>
    <w:multiLevelType w:val="hybridMultilevel"/>
    <w:tmpl w:val="32069AEC"/>
    <w:lvl w:ilvl="0" w:tplc="3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C505E"/>
    <w:multiLevelType w:val="multilevel"/>
    <w:tmpl w:val="BB620CF8"/>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1F0E22CE"/>
    <w:multiLevelType w:val="multilevel"/>
    <w:tmpl w:val="302C59C4"/>
    <w:lvl w:ilvl="0">
      <w:start w:val="1"/>
      <w:numFmt w:val="decimal"/>
      <w:lvlText w:val="%1."/>
      <w:lvlJc w:val="left"/>
      <w:pPr>
        <w:ind w:left="3554" w:hanging="576"/>
      </w:pPr>
      <w:rPr>
        <w:color w:val="000000" w:themeColor="text1"/>
        <w:sz w:val="22"/>
        <w:szCs w:val="22"/>
      </w:rPr>
    </w:lvl>
    <w:lvl w:ilvl="1">
      <w:start w:val="1"/>
      <w:numFmt w:val="decimal"/>
      <w:lvlText w:val="%1.%2"/>
      <w:lvlJc w:val="left"/>
      <w:pPr>
        <w:ind w:left="1296" w:hanging="720"/>
      </w:pPr>
      <w:rPr>
        <w:rFonts w:ascii="Arial" w:hAnsi="Arial" w:cs="Arial" w:hint="default"/>
        <w:b w:val="0"/>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22382C"/>
    <w:multiLevelType w:val="multilevel"/>
    <w:tmpl w:val="3EE2B35C"/>
    <w:lvl w:ilvl="0">
      <w:start w:val="3"/>
      <w:numFmt w:val="decimal"/>
      <w:lvlText w:val="%1."/>
      <w:lvlJc w:val="left"/>
      <w:pPr>
        <w:ind w:left="360" w:hanging="360"/>
      </w:pPr>
      <w:rPr>
        <w:rFonts w:hint="default"/>
        <w:b w:val="0"/>
      </w:rPr>
    </w:lvl>
    <w:lvl w:ilvl="1">
      <w:start w:val="1"/>
      <w:numFmt w:val="decimal"/>
      <w:lvlText w:val="%1.%2."/>
      <w:lvlJc w:val="left"/>
      <w:pPr>
        <w:ind w:left="1288" w:hanging="720"/>
      </w:pPr>
      <w:rPr>
        <w:rFonts w:hint="default"/>
        <w:b w:val="0"/>
        <w:i w:val="0"/>
        <w:sz w:val="22"/>
        <w:szCs w:val="22"/>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4280" w:hanging="1440"/>
      </w:pPr>
      <w:rPr>
        <w:rFonts w:hint="default"/>
        <w:b w:val="0"/>
      </w:rPr>
    </w:lvl>
    <w:lvl w:ilvl="6">
      <w:start w:val="1"/>
      <w:numFmt w:val="decimal"/>
      <w:lvlText w:val="%1.%2.%3.%4.%5.%6.%7."/>
      <w:lvlJc w:val="left"/>
      <w:pPr>
        <w:ind w:left="4848" w:hanging="1440"/>
      </w:pPr>
      <w:rPr>
        <w:rFonts w:hint="default"/>
        <w:b w:val="0"/>
      </w:rPr>
    </w:lvl>
    <w:lvl w:ilvl="7">
      <w:start w:val="1"/>
      <w:numFmt w:val="decimal"/>
      <w:lvlText w:val="%1.%2.%3.%4.%5.%6.%7.%8."/>
      <w:lvlJc w:val="left"/>
      <w:pPr>
        <w:ind w:left="5776" w:hanging="1800"/>
      </w:pPr>
      <w:rPr>
        <w:rFonts w:hint="default"/>
        <w:b w:val="0"/>
      </w:rPr>
    </w:lvl>
    <w:lvl w:ilvl="8">
      <w:start w:val="1"/>
      <w:numFmt w:val="decimal"/>
      <w:lvlText w:val="%1.%2.%3.%4.%5.%6.%7.%8.%9."/>
      <w:lvlJc w:val="left"/>
      <w:pPr>
        <w:ind w:left="6344" w:hanging="1800"/>
      </w:pPr>
      <w:rPr>
        <w:rFonts w:hint="default"/>
        <w:b w:val="0"/>
      </w:rPr>
    </w:lvl>
  </w:abstractNum>
  <w:abstractNum w:abstractNumId="5" w15:restartNumberingAfterBreak="0">
    <w:nsid w:val="3B7B0DDB"/>
    <w:multiLevelType w:val="hybridMultilevel"/>
    <w:tmpl w:val="CC4E64EC"/>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3BC24999"/>
    <w:multiLevelType w:val="multilevel"/>
    <w:tmpl w:val="1FD8F3B6"/>
    <w:lvl w:ilvl="0">
      <w:start w:val="1"/>
      <w:numFmt w:val="decimal"/>
      <w:lvlText w:val="%1."/>
      <w:lvlJc w:val="left"/>
      <w:pPr>
        <w:ind w:left="360" w:hanging="360"/>
      </w:pPr>
      <w:rPr>
        <w:b/>
      </w:rPr>
    </w:lvl>
    <w:lvl w:ilvl="1">
      <w:start w:val="1"/>
      <w:numFmt w:val="decimal"/>
      <w:lvlText w:val="%1.%2."/>
      <w:lvlJc w:val="left"/>
      <w:pPr>
        <w:ind w:left="720" w:hanging="720"/>
      </w:pPr>
      <w:rPr>
        <w:b w:val="0"/>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1800" w:hanging="1800"/>
      </w:pPr>
      <w:rPr>
        <w:b/>
      </w:rPr>
    </w:lvl>
  </w:abstractNum>
  <w:abstractNum w:abstractNumId="7" w15:restartNumberingAfterBreak="0">
    <w:nsid w:val="5DBC388E"/>
    <w:multiLevelType w:val="hybridMultilevel"/>
    <w:tmpl w:val="7E3EA3E2"/>
    <w:lvl w:ilvl="0" w:tplc="C00C07C2">
      <w:start w:val="1"/>
      <w:numFmt w:val="lowerLetter"/>
      <w:lvlText w:val="%1."/>
      <w:lvlJc w:val="left"/>
      <w:pPr>
        <w:ind w:left="1440" w:hanging="360"/>
      </w:pPr>
      <w:rPr>
        <w:b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8" w15:restartNumberingAfterBreak="0">
    <w:nsid w:val="6026520B"/>
    <w:multiLevelType w:val="hybridMultilevel"/>
    <w:tmpl w:val="6D9EB11E"/>
    <w:lvl w:ilvl="0" w:tplc="34090019">
      <w:start w:val="1"/>
      <w:numFmt w:val="lowerLetter"/>
      <w:lvlText w:val="%1."/>
      <w:lvlJc w:val="left"/>
      <w:pPr>
        <w:ind w:left="720" w:hanging="360"/>
      </w:pPr>
      <w:rPr>
        <w:rFonts w:hint="default"/>
      </w:rPr>
    </w:lvl>
    <w:lvl w:ilvl="1" w:tplc="3409001B">
      <w:start w:val="1"/>
      <w:numFmt w:val="lowerRoman"/>
      <w:lvlText w:val="%2."/>
      <w:lvlJc w:val="righ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6CC47B5E"/>
    <w:multiLevelType w:val="multilevel"/>
    <w:tmpl w:val="B92EAF70"/>
    <w:lvl w:ilvl="0">
      <w:start w:val="2"/>
      <w:numFmt w:val="decimal"/>
      <w:lvlText w:val="%1."/>
      <w:lvlJc w:val="left"/>
      <w:pPr>
        <w:ind w:left="360" w:hanging="360"/>
      </w:pPr>
      <w:rPr>
        <w:b w:val="0"/>
      </w:rPr>
    </w:lvl>
    <w:lvl w:ilvl="1">
      <w:start w:val="1"/>
      <w:numFmt w:val="decimal"/>
      <w:lvlText w:val="%1.%2."/>
      <w:lvlJc w:val="left"/>
      <w:pPr>
        <w:ind w:left="1288" w:hanging="720"/>
      </w:pPr>
      <w:rPr>
        <w:b w:val="0"/>
        <w:i w:val="0"/>
        <w:sz w:val="22"/>
        <w:szCs w:val="22"/>
      </w:rPr>
    </w:lvl>
    <w:lvl w:ilvl="2">
      <w:start w:val="1"/>
      <w:numFmt w:val="decimal"/>
      <w:lvlText w:val="%1.%2.%3."/>
      <w:lvlJc w:val="left"/>
      <w:pPr>
        <w:ind w:left="1856" w:hanging="720"/>
      </w:pPr>
      <w:rPr>
        <w:b w:val="0"/>
      </w:rPr>
    </w:lvl>
    <w:lvl w:ilvl="3">
      <w:start w:val="1"/>
      <w:numFmt w:val="decimal"/>
      <w:lvlText w:val="%1.%2.%3.%4."/>
      <w:lvlJc w:val="left"/>
      <w:pPr>
        <w:ind w:left="2784" w:hanging="1080"/>
      </w:pPr>
      <w:rPr>
        <w:b w:val="0"/>
      </w:rPr>
    </w:lvl>
    <w:lvl w:ilvl="4">
      <w:start w:val="1"/>
      <w:numFmt w:val="decimal"/>
      <w:lvlText w:val="%1.%2.%3.%4.%5."/>
      <w:lvlJc w:val="left"/>
      <w:pPr>
        <w:ind w:left="3352" w:hanging="1080"/>
      </w:pPr>
      <w:rPr>
        <w:b w:val="0"/>
      </w:rPr>
    </w:lvl>
    <w:lvl w:ilvl="5">
      <w:start w:val="1"/>
      <w:numFmt w:val="decimal"/>
      <w:lvlText w:val="%1.%2.%3.%4.%5.%6."/>
      <w:lvlJc w:val="left"/>
      <w:pPr>
        <w:ind w:left="4280" w:hanging="1440"/>
      </w:pPr>
      <w:rPr>
        <w:b w:val="0"/>
      </w:rPr>
    </w:lvl>
    <w:lvl w:ilvl="6">
      <w:start w:val="1"/>
      <w:numFmt w:val="decimal"/>
      <w:lvlText w:val="%1.%2.%3.%4.%5.%6.%7."/>
      <w:lvlJc w:val="left"/>
      <w:pPr>
        <w:ind w:left="4848" w:hanging="1440"/>
      </w:pPr>
      <w:rPr>
        <w:b w:val="0"/>
      </w:rPr>
    </w:lvl>
    <w:lvl w:ilvl="7">
      <w:start w:val="1"/>
      <w:numFmt w:val="decimal"/>
      <w:lvlText w:val="%1.%2.%3.%4.%5.%6.%7.%8."/>
      <w:lvlJc w:val="left"/>
      <w:pPr>
        <w:ind w:left="5776" w:hanging="1800"/>
      </w:pPr>
      <w:rPr>
        <w:b w:val="0"/>
      </w:rPr>
    </w:lvl>
    <w:lvl w:ilvl="8">
      <w:start w:val="1"/>
      <w:numFmt w:val="decimal"/>
      <w:lvlText w:val="%1.%2.%3.%4.%5.%6.%7.%8.%9."/>
      <w:lvlJc w:val="left"/>
      <w:pPr>
        <w:ind w:left="6344" w:hanging="1800"/>
      </w:pPr>
      <w:rPr>
        <w:b w:val="0"/>
      </w:rPr>
    </w:lvl>
  </w:abstractNum>
  <w:abstractNum w:abstractNumId="10" w15:restartNumberingAfterBreak="0">
    <w:nsid w:val="7BA426D9"/>
    <w:multiLevelType w:val="multilevel"/>
    <w:tmpl w:val="7CCAADF0"/>
    <w:lvl w:ilvl="0">
      <w:start w:val="1"/>
      <w:numFmt w:val="decimal"/>
      <w:lvlText w:val="%1."/>
      <w:lvlJc w:val="left"/>
      <w:pPr>
        <w:ind w:left="360" w:hanging="360"/>
      </w:pPr>
      <w:rPr>
        <w:rFonts w:hint="default"/>
        <w:b/>
        <w:i w:val="0"/>
        <w:color w:val="auto"/>
        <w:sz w:val="22"/>
        <w:szCs w:val="22"/>
      </w:rPr>
    </w:lvl>
    <w:lvl w:ilvl="1">
      <w:start w:val="1"/>
      <w:numFmt w:val="decimal"/>
      <w:lvlText w:val="%1.%2."/>
      <w:lvlJc w:val="left"/>
      <w:pPr>
        <w:ind w:left="720" w:hanging="360"/>
      </w:pPr>
      <w:rPr>
        <w:rFonts w:ascii="Arial" w:hAnsi="Arial" w:cs="Arial" w:hint="default"/>
        <w:b w:val="0"/>
        <w:i w:val="0"/>
        <w:color w:val="auto"/>
        <w:sz w:val="22"/>
        <w:szCs w:val="22"/>
      </w:rPr>
    </w:lvl>
    <w:lvl w:ilvl="2">
      <w:start w:val="1"/>
      <w:numFmt w:val="lowerLett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 w:numId="7">
    <w:abstractNumId w:val="3"/>
  </w:num>
  <w:num w:numId="8">
    <w:abstractNumId w:val="5"/>
  </w:num>
  <w:num w:numId="9">
    <w:abstractNumId w:val="8"/>
  </w:num>
  <w:num w:numId="10">
    <w:abstractNumId w:val="3"/>
    <w:lvlOverride w:ilvl="0">
      <w:lvl w:ilvl="0">
        <w:start w:val="1"/>
        <w:numFmt w:val="decimal"/>
        <w:lvlText w:val="%1."/>
        <w:lvlJc w:val="left"/>
        <w:pPr>
          <w:ind w:left="360" w:hanging="360"/>
        </w:pPr>
        <w:rPr>
          <w:rFonts w:ascii="Arial" w:hAnsi="Arial" w:cs="Arial" w:hint="default"/>
          <w:b w:val="0"/>
          <w:i w:val="0"/>
          <w:color w:val="auto"/>
          <w:sz w:val="22"/>
          <w:szCs w:val="22"/>
        </w:rPr>
      </w:lvl>
    </w:lvlOverride>
    <w:lvlOverride w:ilvl="1">
      <w:lvl w:ilvl="1">
        <w:start w:val="1"/>
        <w:numFmt w:val="decimal"/>
        <w:lvlText w:val="%1.%2."/>
        <w:lvlJc w:val="left"/>
        <w:pPr>
          <w:ind w:left="5202" w:hanging="432"/>
        </w:pPr>
        <w:rPr>
          <w:rFonts w:ascii="Arial" w:hAnsi="Arial" w:cs="Arial" w:hint="default"/>
          <w:b w:val="0"/>
          <w:i w:val="0"/>
          <w:color w:val="auto"/>
          <w:sz w:val="22"/>
          <w:szCs w:val="22"/>
        </w:rPr>
      </w:lvl>
    </w:lvlOverride>
    <w:lvlOverride w:ilvl="2">
      <w:lvl w:ilvl="2">
        <w:start w:val="1"/>
        <w:numFmt w:val="lowerLetter"/>
        <w:lvlText w:val="%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7"/>
  </w:num>
  <w:num w:numId="12">
    <w:abstractNumId w:val="10"/>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8JnJ6QQi0rBYt8SIBMTfyU9rVUY++z1BE+Vjg5aUGBIbDT8pCHs4wwvlAlf+Xas2wcmaOQBCEEhQpjUt08+LPQ==" w:salt="RIXr+H7LZScKJEfBD018Mg=="/>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30A"/>
    <w:rsid w:val="00010BF3"/>
    <w:rsid w:val="0002278C"/>
    <w:rsid w:val="00040C72"/>
    <w:rsid w:val="000507F5"/>
    <w:rsid w:val="00061768"/>
    <w:rsid w:val="00085A13"/>
    <w:rsid w:val="00086C6E"/>
    <w:rsid w:val="000A7F41"/>
    <w:rsid w:val="000B30FE"/>
    <w:rsid w:val="000B60FC"/>
    <w:rsid w:val="000E3602"/>
    <w:rsid w:val="000F6B1A"/>
    <w:rsid w:val="00133DFE"/>
    <w:rsid w:val="001359C7"/>
    <w:rsid w:val="00136CA1"/>
    <w:rsid w:val="00151C7B"/>
    <w:rsid w:val="0016150E"/>
    <w:rsid w:val="00162C28"/>
    <w:rsid w:val="00162D24"/>
    <w:rsid w:val="00164F3C"/>
    <w:rsid w:val="00170C95"/>
    <w:rsid w:val="00173873"/>
    <w:rsid w:val="00174F15"/>
    <w:rsid w:val="00180BEC"/>
    <w:rsid w:val="0018510A"/>
    <w:rsid w:val="00192918"/>
    <w:rsid w:val="001B3DF8"/>
    <w:rsid w:val="001C2A1A"/>
    <w:rsid w:val="001D0E5D"/>
    <w:rsid w:val="001D2526"/>
    <w:rsid w:val="001E1134"/>
    <w:rsid w:val="001F282B"/>
    <w:rsid w:val="001F63F6"/>
    <w:rsid w:val="00213588"/>
    <w:rsid w:val="00217C74"/>
    <w:rsid w:val="0022101D"/>
    <w:rsid w:val="00232AE2"/>
    <w:rsid w:val="0025781A"/>
    <w:rsid w:val="00261AAE"/>
    <w:rsid w:val="00266C7B"/>
    <w:rsid w:val="00270B06"/>
    <w:rsid w:val="00272CB0"/>
    <w:rsid w:val="00286078"/>
    <w:rsid w:val="00297D77"/>
    <w:rsid w:val="002A6743"/>
    <w:rsid w:val="002E1E79"/>
    <w:rsid w:val="002F4806"/>
    <w:rsid w:val="00300CEB"/>
    <w:rsid w:val="003114F8"/>
    <w:rsid w:val="00317E0D"/>
    <w:rsid w:val="00320D6B"/>
    <w:rsid w:val="00332FD0"/>
    <w:rsid w:val="00333C12"/>
    <w:rsid w:val="00342D9A"/>
    <w:rsid w:val="003719E6"/>
    <w:rsid w:val="0038137B"/>
    <w:rsid w:val="00396120"/>
    <w:rsid w:val="003B7CA5"/>
    <w:rsid w:val="003D767B"/>
    <w:rsid w:val="003F4BE6"/>
    <w:rsid w:val="00400DAF"/>
    <w:rsid w:val="00411DE9"/>
    <w:rsid w:val="00414AB0"/>
    <w:rsid w:val="0041790D"/>
    <w:rsid w:val="004256FF"/>
    <w:rsid w:val="00440571"/>
    <w:rsid w:val="00485648"/>
    <w:rsid w:val="00497E6D"/>
    <w:rsid w:val="004A3A50"/>
    <w:rsid w:val="004C2707"/>
    <w:rsid w:val="004C2B95"/>
    <w:rsid w:val="004C4B63"/>
    <w:rsid w:val="004C6F61"/>
    <w:rsid w:val="004D0FAF"/>
    <w:rsid w:val="004F0FB4"/>
    <w:rsid w:val="004F486E"/>
    <w:rsid w:val="00504D7B"/>
    <w:rsid w:val="00506448"/>
    <w:rsid w:val="00515386"/>
    <w:rsid w:val="00515414"/>
    <w:rsid w:val="00530799"/>
    <w:rsid w:val="00535D7C"/>
    <w:rsid w:val="0055038E"/>
    <w:rsid w:val="00563E6E"/>
    <w:rsid w:val="0058178A"/>
    <w:rsid w:val="005C18A2"/>
    <w:rsid w:val="005C25FF"/>
    <w:rsid w:val="005C4CC1"/>
    <w:rsid w:val="005E2F38"/>
    <w:rsid w:val="005E42B9"/>
    <w:rsid w:val="005F1249"/>
    <w:rsid w:val="006104E4"/>
    <w:rsid w:val="00615761"/>
    <w:rsid w:val="0062023F"/>
    <w:rsid w:val="0062085E"/>
    <w:rsid w:val="006318FB"/>
    <w:rsid w:val="00636983"/>
    <w:rsid w:val="006476C4"/>
    <w:rsid w:val="006477FF"/>
    <w:rsid w:val="00653C05"/>
    <w:rsid w:val="00661C83"/>
    <w:rsid w:val="00677D5C"/>
    <w:rsid w:val="006A296C"/>
    <w:rsid w:val="006E6ED5"/>
    <w:rsid w:val="00700F1B"/>
    <w:rsid w:val="00716615"/>
    <w:rsid w:val="00717B21"/>
    <w:rsid w:val="0072541E"/>
    <w:rsid w:val="0073121F"/>
    <w:rsid w:val="00736A4F"/>
    <w:rsid w:val="0074177A"/>
    <w:rsid w:val="00752554"/>
    <w:rsid w:val="0076410A"/>
    <w:rsid w:val="00771848"/>
    <w:rsid w:val="0078364B"/>
    <w:rsid w:val="00784E0F"/>
    <w:rsid w:val="00790A5B"/>
    <w:rsid w:val="007A7239"/>
    <w:rsid w:val="007B77A5"/>
    <w:rsid w:val="007D34CA"/>
    <w:rsid w:val="007D6903"/>
    <w:rsid w:val="00800ED3"/>
    <w:rsid w:val="0084620C"/>
    <w:rsid w:val="00861054"/>
    <w:rsid w:val="00874923"/>
    <w:rsid w:val="0087492D"/>
    <w:rsid w:val="00883C09"/>
    <w:rsid w:val="00884227"/>
    <w:rsid w:val="0089058E"/>
    <w:rsid w:val="008A63B4"/>
    <w:rsid w:val="008B4162"/>
    <w:rsid w:val="008B6EF0"/>
    <w:rsid w:val="008C7C3B"/>
    <w:rsid w:val="008F50D3"/>
    <w:rsid w:val="009113C0"/>
    <w:rsid w:val="00912BD7"/>
    <w:rsid w:val="00925CB8"/>
    <w:rsid w:val="00933377"/>
    <w:rsid w:val="00944E3D"/>
    <w:rsid w:val="00961C48"/>
    <w:rsid w:val="0097466D"/>
    <w:rsid w:val="009750C3"/>
    <w:rsid w:val="0097667F"/>
    <w:rsid w:val="009841CB"/>
    <w:rsid w:val="009900F8"/>
    <w:rsid w:val="00996BD1"/>
    <w:rsid w:val="009A555D"/>
    <w:rsid w:val="009D2E13"/>
    <w:rsid w:val="009E3F50"/>
    <w:rsid w:val="009E4C9B"/>
    <w:rsid w:val="00A02B8F"/>
    <w:rsid w:val="00A16C39"/>
    <w:rsid w:val="00A367A8"/>
    <w:rsid w:val="00A51FAB"/>
    <w:rsid w:val="00A55F4E"/>
    <w:rsid w:val="00A600B8"/>
    <w:rsid w:val="00A7269E"/>
    <w:rsid w:val="00A96245"/>
    <w:rsid w:val="00AC0417"/>
    <w:rsid w:val="00AC421A"/>
    <w:rsid w:val="00AC4DF8"/>
    <w:rsid w:val="00AF6AE6"/>
    <w:rsid w:val="00B000A9"/>
    <w:rsid w:val="00B03B5E"/>
    <w:rsid w:val="00B05021"/>
    <w:rsid w:val="00B14C5E"/>
    <w:rsid w:val="00B4130A"/>
    <w:rsid w:val="00B43DCA"/>
    <w:rsid w:val="00B503C8"/>
    <w:rsid w:val="00B738ED"/>
    <w:rsid w:val="00B753DA"/>
    <w:rsid w:val="00B94B21"/>
    <w:rsid w:val="00BB684E"/>
    <w:rsid w:val="00BC1814"/>
    <w:rsid w:val="00C26D0E"/>
    <w:rsid w:val="00C6351D"/>
    <w:rsid w:val="00C6680C"/>
    <w:rsid w:val="00C805C7"/>
    <w:rsid w:val="00CA08F7"/>
    <w:rsid w:val="00CB743A"/>
    <w:rsid w:val="00CC74D5"/>
    <w:rsid w:val="00CD27DF"/>
    <w:rsid w:val="00CD3CBA"/>
    <w:rsid w:val="00CE5819"/>
    <w:rsid w:val="00CF7629"/>
    <w:rsid w:val="00D00348"/>
    <w:rsid w:val="00D0557D"/>
    <w:rsid w:val="00D1163E"/>
    <w:rsid w:val="00D20A79"/>
    <w:rsid w:val="00D21AB6"/>
    <w:rsid w:val="00D6221A"/>
    <w:rsid w:val="00D62720"/>
    <w:rsid w:val="00D75237"/>
    <w:rsid w:val="00D81A6D"/>
    <w:rsid w:val="00DB2F55"/>
    <w:rsid w:val="00DB7977"/>
    <w:rsid w:val="00DC527D"/>
    <w:rsid w:val="00DD3B61"/>
    <w:rsid w:val="00DE1165"/>
    <w:rsid w:val="00E07A2E"/>
    <w:rsid w:val="00E140EC"/>
    <w:rsid w:val="00E20F8F"/>
    <w:rsid w:val="00E33F1E"/>
    <w:rsid w:val="00E4107C"/>
    <w:rsid w:val="00E439A6"/>
    <w:rsid w:val="00E51909"/>
    <w:rsid w:val="00E67A3F"/>
    <w:rsid w:val="00E73877"/>
    <w:rsid w:val="00E82E33"/>
    <w:rsid w:val="00E8587A"/>
    <w:rsid w:val="00E9534D"/>
    <w:rsid w:val="00E97375"/>
    <w:rsid w:val="00ED73EE"/>
    <w:rsid w:val="00EE154E"/>
    <w:rsid w:val="00F1222A"/>
    <w:rsid w:val="00F171A2"/>
    <w:rsid w:val="00F2372A"/>
    <w:rsid w:val="00F31109"/>
    <w:rsid w:val="00F52CAD"/>
    <w:rsid w:val="00F558EC"/>
    <w:rsid w:val="00F56527"/>
    <w:rsid w:val="00F77D52"/>
    <w:rsid w:val="00F97C93"/>
    <w:rsid w:val="00FB4360"/>
    <w:rsid w:val="00FC1078"/>
    <w:rsid w:val="00FD0090"/>
    <w:rsid w:val="00FE01C6"/>
    <w:rsid w:val="00FE2952"/>
    <w:rsid w:val="00FE3EBA"/>
    <w:rsid w:val="00FE7CB5"/>
    <w:rsid w:val="00FF6148"/>
    <w:rsid w:val="00FF70C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6E83B"/>
  <w15:chartTrackingRefBased/>
  <w15:docId w15:val="{D32D075F-C2D3-4104-B80D-7E65AD5FB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30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4130A"/>
    <w:pPr>
      <w:spacing w:after="0" w:line="240" w:lineRule="auto"/>
      <w:jc w:val="center"/>
    </w:pPr>
    <w:rPr>
      <w:rFonts w:ascii="Times New Roman" w:eastAsia="Times New Roman" w:hAnsi="Times New Roman"/>
      <w:b/>
      <w:sz w:val="24"/>
      <w:szCs w:val="20"/>
      <w:lang w:val="en-US"/>
    </w:rPr>
  </w:style>
  <w:style w:type="character" w:customStyle="1" w:styleId="TitleChar">
    <w:name w:val="Title Char"/>
    <w:basedOn w:val="DefaultParagraphFont"/>
    <w:link w:val="Title"/>
    <w:rsid w:val="00B4130A"/>
    <w:rPr>
      <w:rFonts w:ascii="Times New Roman" w:eastAsia="Times New Roman" w:hAnsi="Times New Roman" w:cs="Times New Roman"/>
      <w:b/>
      <w:sz w:val="24"/>
      <w:szCs w:val="20"/>
      <w:lang w:val="en-US"/>
    </w:rPr>
  </w:style>
  <w:style w:type="character" w:customStyle="1" w:styleId="NoSpacingChar">
    <w:name w:val="No Spacing Char"/>
    <w:link w:val="NoSpacing"/>
    <w:uiPriority w:val="1"/>
    <w:locked/>
    <w:rsid w:val="00B4130A"/>
    <w:rPr>
      <w:lang w:eastAsia="ar-SA"/>
    </w:rPr>
  </w:style>
  <w:style w:type="paragraph" w:styleId="NoSpacing">
    <w:name w:val="No Spacing"/>
    <w:link w:val="NoSpacingChar"/>
    <w:uiPriority w:val="1"/>
    <w:qFormat/>
    <w:rsid w:val="00B4130A"/>
    <w:pPr>
      <w:suppressAutoHyphens/>
      <w:spacing w:after="0" w:line="240" w:lineRule="auto"/>
    </w:pPr>
    <w:rPr>
      <w:lang w:eastAsia="ar-SA"/>
    </w:rPr>
  </w:style>
  <w:style w:type="character" w:customStyle="1" w:styleId="ListParagraphChar">
    <w:name w:val="List Paragraph Char"/>
    <w:aliases w:val="Resume Title Char,List Paragraph1 Char,Colorful List - Accent 11 Char"/>
    <w:link w:val="ListParagraph"/>
    <w:uiPriority w:val="34"/>
    <w:qFormat/>
    <w:locked/>
    <w:rsid w:val="00B4130A"/>
    <w:rPr>
      <w:rFonts w:ascii="Times New Roman" w:eastAsia="Times New Roman" w:hAnsi="Times New Roman" w:cs="Times New Roman"/>
      <w:sz w:val="24"/>
      <w:szCs w:val="24"/>
    </w:rPr>
  </w:style>
  <w:style w:type="paragraph" w:styleId="ListParagraph">
    <w:name w:val="List Paragraph"/>
    <w:aliases w:val="Resume Title,List Paragraph1,Colorful List - Accent 11"/>
    <w:basedOn w:val="Normal"/>
    <w:link w:val="ListParagraphChar"/>
    <w:uiPriority w:val="34"/>
    <w:qFormat/>
    <w:rsid w:val="00B4130A"/>
    <w:pPr>
      <w:spacing w:after="0" w:line="240" w:lineRule="auto"/>
      <w:ind w:left="720"/>
    </w:pPr>
    <w:rPr>
      <w:rFonts w:ascii="Times New Roman" w:eastAsia="Times New Roman" w:hAnsi="Times New Roman"/>
      <w:sz w:val="24"/>
      <w:szCs w:val="24"/>
    </w:rPr>
  </w:style>
  <w:style w:type="table" w:styleId="TableGrid">
    <w:name w:val="Table Grid"/>
    <w:basedOn w:val="TableNormal"/>
    <w:uiPriority w:val="39"/>
    <w:rsid w:val="00B4130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1F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FAB"/>
    <w:rPr>
      <w:rFonts w:ascii="Calibri" w:eastAsia="Calibri" w:hAnsi="Calibri" w:cs="Times New Roman"/>
    </w:rPr>
  </w:style>
  <w:style w:type="paragraph" w:styleId="Footer">
    <w:name w:val="footer"/>
    <w:basedOn w:val="Normal"/>
    <w:link w:val="FooterChar"/>
    <w:uiPriority w:val="99"/>
    <w:unhideWhenUsed/>
    <w:rsid w:val="00A51F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FAB"/>
    <w:rPr>
      <w:rFonts w:ascii="Calibri" w:eastAsia="Calibri" w:hAnsi="Calibri" w:cs="Times New Roman"/>
    </w:rPr>
  </w:style>
  <w:style w:type="paragraph" w:styleId="BalloonText">
    <w:name w:val="Balloon Text"/>
    <w:basedOn w:val="Normal"/>
    <w:link w:val="BalloonTextChar"/>
    <w:uiPriority w:val="99"/>
    <w:semiHidden/>
    <w:unhideWhenUsed/>
    <w:rsid w:val="009750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50C3"/>
    <w:rPr>
      <w:rFonts w:ascii="Segoe UI" w:eastAsia="Calibri" w:hAnsi="Segoe UI" w:cs="Segoe UI"/>
      <w:sz w:val="18"/>
      <w:szCs w:val="18"/>
    </w:rPr>
  </w:style>
  <w:style w:type="table" w:customStyle="1" w:styleId="TableGrid1">
    <w:name w:val="Table Grid1"/>
    <w:basedOn w:val="TableNormal"/>
    <w:next w:val="TableGrid"/>
    <w:uiPriority w:val="39"/>
    <w:rsid w:val="005E42B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7269E"/>
    <w:rPr>
      <w:sz w:val="16"/>
      <w:szCs w:val="16"/>
    </w:rPr>
  </w:style>
  <w:style w:type="paragraph" w:styleId="CommentText">
    <w:name w:val="annotation text"/>
    <w:basedOn w:val="Normal"/>
    <w:link w:val="CommentTextChar"/>
    <w:uiPriority w:val="99"/>
    <w:semiHidden/>
    <w:unhideWhenUsed/>
    <w:rsid w:val="00A7269E"/>
    <w:pPr>
      <w:spacing w:line="240" w:lineRule="auto"/>
    </w:pPr>
    <w:rPr>
      <w:sz w:val="20"/>
      <w:szCs w:val="20"/>
    </w:rPr>
  </w:style>
  <w:style w:type="character" w:customStyle="1" w:styleId="CommentTextChar">
    <w:name w:val="Comment Text Char"/>
    <w:basedOn w:val="DefaultParagraphFont"/>
    <w:link w:val="CommentText"/>
    <w:uiPriority w:val="99"/>
    <w:semiHidden/>
    <w:rsid w:val="00A7269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7269E"/>
    <w:rPr>
      <w:b/>
      <w:bCs/>
    </w:rPr>
  </w:style>
  <w:style w:type="character" w:customStyle="1" w:styleId="CommentSubjectChar">
    <w:name w:val="Comment Subject Char"/>
    <w:basedOn w:val="CommentTextChar"/>
    <w:link w:val="CommentSubject"/>
    <w:uiPriority w:val="99"/>
    <w:semiHidden/>
    <w:rsid w:val="00A7269E"/>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349145">
      <w:bodyDiv w:val="1"/>
      <w:marLeft w:val="0"/>
      <w:marRight w:val="0"/>
      <w:marTop w:val="0"/>
      <w:marBottom w:val="0"/>
      <w:divBdr>
        <w:top w:val="none" w:sz="0" w:space="0" w:color="auto"/>
        <w:left w:val="none" w:sz="0" w:space="0" w:color="auto"/>
        <w:bottom w:val="none" w:sz="0" w:space="0" w:color="auto"/>
        <w:right w:val="none" w:sz="0" w:space="0" w:color="auto"/>
      </w:divBdr>
    </w:div>
    <w:div w:id="598491345">
      <w:bodyDiv w:val="1"/>
      <w:marLeft w:val="0"/>
      <w:marRight w:val="0"/>
      <w:marTop w:val="0"/>
      <w:marBottom w:val="0"/>
      <w:divBdr>
        <w:top w:val="none" w:sz="0" w:space="0" w:color="auto"/>
        <w:left w:val="none" w:sz="0" w:space="0" w:color="auto"/>
        <w:bottom w:val="none" w:sz="0" w:space="0" w:color="auto"/>
        <w:right w:val="none" w:sz="0" w:space="0" w:color="auto"/>
      </w:divBdr>
    </w:div>
    <w:div w:id="891112230">
      <w:bodyDiv w:val="1"/>
      <w:marLeft w:val="0"/>
      <w:marRight w:val="0"/>
      <w:marTop w:val="0"/>
      <w:marBottom w:val="0"/>
      <w:divBdr>
        <w:top w:val="none" w:sz="0" w:space="0" w:color="auto"/>
        <w:left w:val="none" w:sz="0" w:space="0" w:color="auto"/>
        <w:bottom w:val="none" w:sz="0" w:space="0" w:color="auto"/>
        <w:right w:val="none" w:sz="0" w:space="0" w:color="auto"/>
      </w:divBdr>
    </w:div>
    <w:div w:id="1389919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6</Pages>
  <Words>2510</Words>
  <Characters>14309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Executive Summary</vt:lpstr>
    </vt:vector>
  </TitlesOfParts>
  <Company/>
  <LinksUpToDate>false</LinksUpToDate>
  <CharactersWithSpaces>16786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COA - Philippine Charity Sweepstakes Office</dc:creator>
  <cp:keywords/>
  <dc:description/>
  <cp:lastModifiedBy>Jayson L. Gabat</cp:lastModifiedBy>
  <cp:revision>36</cp:revision>
  <cp:lastPrinted>2024-11-28T03:01:00Z</cp:lastPrinted>
  <dcterms:created xsi:type="dcterms:W3CDTF">2024-07-08T05:15:00Z</dcterms:created>
  <dcterms:modified xsi:type="dcterms:W3CDTF">2024-11-28T03:05:00Z</dcterms:modified>
</cp:coreProperties>
</file>